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«Торговля и общественное питание»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ИП «Tong Qahvasi» реализует проект «Открытие кофейни в спальном районе Ташкента»: Кофейня формата «кофе с собой» с 12 посадочными местами и собственной выпечкой в спальном районе Ташкента. Полная стоимость проекта — 489 979 702 сум, из которых 410 000 000 сум — банковский кредит на 36 месяцев под 22% годовых с льготным периодом 3 месяца(ев), остальное — собственный капитал инициатора. При выходе на проектную мощность выручка составляет 126 000 000 сум/мес; см. раздел «Финансовый план» ниже по срокам окупаемости.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ИП «Tong Qahvasi»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ИП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Торговля и общественное питание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(1) ремонт точки и закупка оборудования — месяц 1; (2) регистрация ККМ, подключение к агрегаторам доставки, первые продажи — месяцы 1-2; (3) выход на плановый объём ~120 чеков/день — с 4-5-го месяца.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Торговля и общественное питание</w:t>
      </w:r>
      <w:bookmarkEnd w:id="5"/>
    </w:p>
    <w:p>
      <w:pPr>
        <w:pStyle w:val="ListParagraph"/>
        <w:numPr>
          <w:ilvl w:val="0"/>
          <w:numId w:val="1"/>
        </w:numPr>
      </w:pPr>
      <w:r>
        <w:t>Розничная торговля и общепит — один из крупнейших секторов по числу МСБ в Узбекистане и одна из самых доступных точек входа для начинающего предпринимателя.</w:t>
      </w:r>
    </w:p>
    <w:p>
      <w:pPr>
        <w:pStyle w:val="ListParagraph"/>
        <w:numPr>
          <w:ilvl w:val="0"/>
          <w:numId w:val="1"/>
        </w:numPr>
      </w:pPr>
      <w:r>
        <w:t>E-commerce растёт стремительно: на платформе Uzum Market работает свыше 18 тыс. продавцов (рост на 32% с начала года), GMV площадки за 2025 год превысил $500 млн (рост в 1,5 раза) при 34 млн заказов (gazeta.uz).</w:t>
      </w:r>
    </w:p>
    <w:p>
      <w:pPr>
        <w:pStyle w:val="ListParagraph"/>
        <w:numPr>
          <w:ilvl w:val="0"/>
          <w:numId w:val="1"/>
        </w:numPr>
      </w:pPr>
      <w:r>
        <w:t>90% продавцов на крупнейшем маркетплейсе — представители малого бизнеса из регионов (gazeta.uz) — выход на маркетплейс реалистичен и для небольшого нового бизнеса.</w:t>
      </w:r>
    </w:p>
    <w:p>
      <w:pPr>
        <w:pStyle w:val="ListParagraph"/>
        <w:numPr>
          <w:ilvl w:val="0"/>
          <w:numId w:val="1"/>
        </w:numPr>
      </w:pPr>
      <w:r>
        <w:t>Рост доходов населения в крупных городах повышает спрос на современный формат торговли и питания — сетевые кофейни, фудкорты, магазины у дома.</w:t>
      </w:r>
    </w:p>
    <w:p>
      <w:pPr>
        <w:pStyle w:val="ListParagraph"/>
        <w:numPr>
          <w:ilvl w:val="0"/>
          <w:numId w:val="1"/>
        </w:numPr>
      </w:pPr>
      <w:r>
        <w:t>Для сравнения: в Казахстане e-commerce и маркетплейсы (Kaspi.kz) достигли большей зрелости — узбекский рынок ещё в фазе быстрого роста, что даёт больше пространства для новых продавцов и брендов.</w:t>
      </w:r>
    </w:p>
    <w:p>
      <w:pPr>
        <w:pStyle w:val="ListParagraph"/>
        <w:numPr>
          <w:ilvl w:val="0"/>
          <w:numId w:val="1"/>
        </w:numPr>
      </w:pPr>
      <w:r>
        <w:t>[Впишите] Уточните актуальные объёмы рынка, цены и конкурентов в вашем конкретном сегменте и регионе по данным отраслевой статистики и профильных ассоциаций.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Кофейня «Qahva Vaqti»</w:t>
                      </w:r>
                    </w:p>
                  </w:tc>
                  <w:tc>
                    <w:tcPr/>
                    <w:p>
                      <w:r>
                        <w:t>формат «кофе с собой» + посадочные места, спальный район Ташкента</w:t>
                      </w:r>
                    </w:p>
                  </w:tc>
                  <w:tc>
                    <w:tcPr/>
                    <w:p>
                      <w:r>
                        <w:t>устоявшаяся программа лояльности</w:t>
                      </w:r>
                    </w:p>
                  </w:tc>
                  <w:tc>
                    <w:tcPr/>
                    <w:p>
                      <w:r>
                        <w:t>одна точка, ограниченный охват</w:t>
                      </w:r>
                    </w:p>
                  </w:tc>
                </w:tr>
                <w:tr>
                  <w:tc>
                    <w:tcPr/>
                    <w:p>
                      <w:r>
                        <w:t>Сеть «Coffee Boom»</w:t>
                      </w:r>
                    </w:p>
                  </w:tc>
                  <w:tc>
                    <w:tcPr/>
                    <w:p>
                      <w:r>
                        <w:t>сеть кофеен в бизнес-центрах Ташкента</w:t>
                      </w:r>
                    </w:p>
                  </w:tc>
                  <w:tc>
                    <w:tcPr/>
                    <w:p>
                      <w:r>
                        <w:t>масштаб, узнаваемость бренда</w:t>
                      </w:r>
                    </w:p>
                  </w:tc>
                  <w:tc>
                    <w:tcPr/>
                    <w:p>
                      <w:r>
                        <w:t>выше цена, менее гибкий локальный ассортимент</w:t>
                      </w:r>
                    </w:p>
                  </w:tc>
                </w:tr>
                <w:tr>
                  <w:tc>
                    <w:tcPr/>
                    <w:p>
                      <w:r>
                        <w:t>Кондитерская «Shirinlik Uyi»</w:t>
                      </w:r>
                    </w:p>
                  </w:tc>
                  <w:tc>
                    <w:tcPr/>
                    <w:p>
                      <w:r>
                        <w:t>кондитерская с акцентом на выпечку и десерты</w:t>
                      </w:r>
                    </w:p>
                  </w:tc>
                  <w:tc>
                    <w:tcPr/>
                    <w:p>
                      <w:r>
                        <w:t>сильное предложение по выпечке</w:t>
                      </w:r>
                    </w:p>
                  </w:tc>
                  <w:tc>
                    <w:tcPr/>
                    <w:p>
                      <w:r>
                        <w:t>слабее в сегменте кофе на вынос</w:t>
                      </w:r>
                    </w:p>
                  </w:tc>
                </w:tr>
                <w:tr>
                  <w:tc>
                    <w:tcPr/>
                    <w:p>
                      <w:r>
                        <w:t>Точка на фудкорте ТЦ «Kофе Хаус Экспресс»</w:t>
                      </w:r>
                    </w:p>
                  </w:tc>
                  <w:tc>
                    <w:tcPr/>
                    <w:p>
                      <w:r>
                        <w:t>точка на фудкорте торгового центра</w:t>
                      </w:r>
                    </w:p>
                  </w:tc>
                  <w:tc>
                    <w:tcPr/>
                    <w:p>
                      <w:r>
                        <w:t>высокий трафик локации</w:t>
                      </w:r>
                    </w:p>
                  </w:tc>
                  <w:tc>
                    <w:tcPr/>
                    <w:p>
                      <w:r>
                        <w:t>зависимость от арендодателя и часов работы ТЦ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Качество и УТП</w:t>
            </w:r>
          </w:p>
        </w:tc>
        <w:tc>
          <w:tcPr/>
          <w:p>
            <w:r>
              <w:t>акцент на качество кофе и собственную выпечку, а не только на цену</w:t>
            </w:r>
          </w:p>
        </w:tc>
      </w:tr>
      <w:tr>
        <w:tc>
          <w:tcPr/>
          <w:p>
            <w:r>
              <w:t>Лояльность</w:t>
            </w:r>
          </w:p>
        </w:tc>
        <w:tc>
          <w:tcPr/>
          <w:p>
            <w:r>
              <w:t>программа лояльности (каждый 6-й кофе бесплатно) для удержания постоянных клиентов</w:t>
            </w:r>
          </w:p>
        </w:tc>
      </w:tr>
      <w:tr>
        <w:tc>
          <w:tcPr/>
          <w:p>
            <w:r>
              <w:t>Каналы сбыта</w:t>
            </w:r>
          </w:p>
        </w:tc>
        <w:tc>
          <w:tcPr/>
          <w:p>
            <w:r>
              <w:t>розница в точке + доставка через агрегаторы + опт для офисов + корпоративные заказы — 4 источника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клиента. Пример: Жители и офисные работники спального района Ташкента, ищущие качественный кофе и выпечку рядом с домом/работой; для них важны скорость обслуживания, вкус и удобство заказа через доставку.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Цена — на уровне среднего чека по району с акцентом на качество кофе и своей выпечки; продвижение — страницы в Instagram/Telegram с фото и акциями, программа лояльности, партнёрство с соседними офисами на корпоративные заказы.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Управляющий-владелец (административный блок) и производственный персонал: 2 бариста посменно, кондитер part-time, уборщица part-time. Форма — ИП на начальном этапе.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Бариста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6 000 000</w:t>
            </w:r>
          </w:p>
        </w:tc>
        <w:tc>
          <w:tcPr/>
          <w:p>
            <w:r>
              <w:t>12 000 000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Кондитер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5 000 000</w:t>
            </w:r>
          </w:p>
        </w:tc>
        <w:tc>
          <w:tcPr/>
          <w:p>
            <w:r>
              <w:t>5 000 000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Уборщица (part-time)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3 000 000</w:t>
            </w:r>
          </w:p>
        </w:tc>
        <w:tc>
          <w:tcPr/>
          <w:p>
            <w:r>
              <w:t>3 000 000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Управляющий (владелец)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6 000 000</w:t>
            </w:r>
          </w:p>
        </w:tc>
        <w:tc>
          <w:tcPr/>
          <w:p>
            <w:r>
              <w:t>6 000 000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5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26 000 000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3 120 000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29 120 000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Аренда и ремонт торговой точки</w:t>
            </w:r>
          </w:p>
        </w:tc>
        <w:tc>
          <w:tcPr/>
          <w:p>
            <w:r>
              <w:t>250 000 000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Торговое / кухонное оборудование</w:t>
            </w:r>
          </w:p>
        </w:tc>
        <w:tc>
          <w:tcPr/>
          <w:p>
            <w:r>
              <w:t>160 000 000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Первая товарная партия / запасы</w:t>
            </w:r>
          </w:p>
        </w:tc>
        <w:tc>
          <w:tcPr/>
          <w:p>
            <w:r>
              <w:t>45 000 000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Регистрация ККМ и разрешений</w:t>
            </w:r>
          </w:p>
        </w:tc>
        <w:tc>
          <w:tcPr/>
          <w:p>
            <w:r>
              <w:t>8 000 000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Вывеска и брендинг</w:t>
            </w:r>
          </w:p>
        </w:tc>
        <w:tc>
          <w:tcPr/>
          <w:p>
            <w:r>
              <w:t>12 000 000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Регистрация продавцом на маркетплейсе</w:t>
            </w:r>
          </w:p>
        </w:tc>
        <w:tc>
          <w:tcPr/>
          <w:p>
            <w:r>
              <w:t>5 000 000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Финансирование дебиторской задолженности и запасов на период выхода на плановую мощность</w:t>
            </w:r>
          </w:p>
        </w:tc>
        <w:tc>
          <w:tcPr/>
          <w:p>
            <w:r>
              <w:t>9 979 702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410 000 000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79 979 702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489 979 702</w:t>
            </w:r>
          </w:p>
        </w:tc>
        <w:tc>
          <w:tcPr/>
          <w:p/>
        </w:tc>
      </w:tr>
    </w:tbl>
    <w:p>
      <w:r>
        <w:rPr>
          <w:rStyle w:val="CkCaption"/>
          <w:i/>
        </w:rPr>
        <w:t>Строка «Финансирование дебиторской задолженности и запасов на период выхода на плановую мощность» — расчётная величина: расчётная величина — обеспечивает положительный остаток денежных средств в течение Года 1 при выходе на плановую загрузку (см. лист «Поток наличности»).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410 000 000</w:t>
            </w:r>
          </w:p>
        </w:tc>
        <w:tc>
          <w:tcPr/>
          <w:p>
            <w:r>
              <w:t>81,6%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92 229 702</w:t>
            </w:r>
          </w:p>
        </w:tc>
        <w:tc>
          <w:tcPr/>
          <w:p>
            <w:r>
              <w:t>18,4%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502 229 702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410 000 000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36 месяцев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3 месяца(ев)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12 250 000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Розничные продажи в точке</w:t>
            </w:r>
          </w:p>
        </w:tc>
        <w:tc>
          <w:tcPr/>
          <w:p>
            <w:r>
              <w:t>70%</w:t>
            </w:r>
          </w:p>
        </w:tc>
        <w:tc>
          <w:tcPr/>
          <w:p>
            <w:r>
              <w:t>88 200 000</w:t>
            </w:r>
          </w:p>
        </w:tc>
      </w:tr>
      <w:tr>
        <w:tc>
          <w:tcPr/>
          <w:p>
            <w:r>
              <w:t>Онлайн-продажи / доставка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25 200 000</w:t>
            </w:r>
          </w:p>
        </w:tc>
      </w:tr>
      <w:tr>
        <w:tc>
          <w:tcPr/>
          <w:p>
            <w:r>
              <w:t>Опт для небольших партнёров</w:t>
            </w:r>
          </w:p>
        </w:tc>
        <w:tc>
          <w:tcPr/>
          <w:p>
            <w:r>
              <w:t>6%</w:t>
            </w:r>
          </w:p>
        </w:tc>
        <w:tc>
          <w:tcPr/>
          <w:p>
            <w:r>
              <w:t>7 560 000</w:t>
            </w:r>
          </w:p>
        </w:tc>
      </w:tr>
      <w:tr>
        <w:tc>
          <w:tcPr/>
          <w:p>
            <w:r>
              <w:t>Корпоративные заказы</w:t>
            </w:r>
          </w:p>
        </w:tc>
        <w:tc>
          <w:tcPr/>
          <w:p>
            <w:r>
              <w:t>4%</w:t>
            </w:r>
          </w:p>
        </w:tc>
        <w:tc>
          <w:tcPr/>
          <w:p>
            <w:r>
              <w:t>5 040 000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126 000 000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Сырьё / материалы</w:t>
            </w:r>
          </w:p>
        </w:tc>
        <w:tc>
          <w:tcPr/>
          <w:p>
            <w:r>
              <w:t>46 600 000</w:t>
            </w:r>
          </w:p>
        </w:tc>
        <w:tc>
          <w:tcPr/>
          <w:p>
            <w:r>
              <w:t>0%</w:t>
            </w:r>
          </w:p>
        </w:tc>
      </w:tr>
      <w:tr>
        <w:tc>
          <w:tcPr/>
          <w:p>
            <w:r>
              <w:t>Коммунальные услуги</w:t>
            </w:r>
          </w:p>
        </w:tc>
        <w:tc>
          <w:tcPr/>
          <w:p>
            <w:r>
              <w:t>5 000 000</w:t>
            </w:r>
          </w:p>
        </w:tc>
        <w:tc>
          <w:tcPr/>
          <w:p>
            <w:r>
              <w:t>30%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22 400 000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ФОТ и ЕСП административный</w:t>
            </w:r>
          </w:p>
        </w:tc>
        <w:tc>
          <w:tcPr/>
          <w:p>
            <w:r>
              <w:t>6 720 000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3 666 667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19 700 000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104 086 667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бизнеса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</w:t>
            </w:r>
          </w:p>
        </w:tc>
        <w:tc>
          <w:tcPr/>
          <w:p>
            <w:r>
              <w:rPr>
                <w:b/>
              </w:rPr>
              <w:t>Мес. 3</w:t>
            </w:r>
          </w:p>
        </w:tc>
        <w:tc>
          <w:tcPr/>
          <w:p>
            <w:r>
              <w:rPr>
                <w:b/>
              </w:rPr>
              <w:t>Мес. 6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63 000 000</w:t>
            </w:r>
          </w:p>
        </w:tc>
        <w:tc>
          <w:tcPr/>
          <w:p>
            <w:r>
              <w:t>98 280 000</w:t>
            </w:r>
          </w:p>
        </w:tc>
        <w:tc>
          <w:tcPr/>
          <w:p>
            <w:r>
              <w:t>126 000 000</w:t>
            </w:r>
          </w:p>
        </w:tc>
        <w:tc>
          <w:tcPr/>
          <w:p>
            <w:r>
              <w:t>135 348 554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−23 553 333</w:t>
            </w:r>
          </w:p>
        </w:tc>
        <w:tc>
          <w:tcPr/>
          <w:p>
            <w:r>
              <w:t>−2 301 333</w:t>
            </w:r>
          </w:p>
        </w:tc>
        <w:tc>
          <w:tcPr/>
          <w:p>
            <w:r>
              <w:t>12 624 389</w:t>
            </w:r>
          </w:p>
        </w:tc>
        <w:tc>
          <w:tcPr/>
          <w:p>
            <w:r>
              <w:t>18 572 738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38 423 590</w:t>
            </w:r>
          </w:p>
        </w:tc>
        <w:tc>
          <w:tcPr/>
          <w:p>
            <w:r>
              <w:t>16 545 257</w:t>
            </w:r>
          </w:p>
        </w:tc>
        <w:tc>
          <w:tcPr/>
          <w:p>
            <w:r>
              <w:t>5 014 313</w:t>
            </w:r>
          </w:p>
        </w:tc>
        <w:tc>
          <w:tcPr/>
          <w:p>
            <w:r>
              <w:t>44 961 531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60,2%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53 986 667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89 622 134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71,1%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Срок окупаемости полной стоимости проекта (489 979 702 сум) по чистой прибыли на уровне проектной мощности (≈18 572 738 сум/мес к 12-му месяцу) — около 26 месяцев.</w:t>
      </w:r>
    </w:p>
    <w:p>
      <w:r>
        <w:rPr>
          <w:rStyle w:val="CkCaption"/>
          <w:i/>
        </w:rPr>
        <w:t>NPV и IRR в приложенном Excel-файле рассчитаны только за Год 1 проекта (12 месяцев) — в течение этого периода компания обычно ещё не успевает полностью окупить стартовые вложения. IRR за 12 месяцев математически не определяется, когда денежный поток года ещё не покрывает инвестиции (лист «NPV и IRR» показывает «н/д» в этом случае) — это ожидаемо для капиталоёмких проектов и не является ошибкой расчёта. Для реальной заявки в банк расширьте период анализа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Высокая конкуренция в насыщенных локациях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Уникальное позиционирование, программа лояльности, узнаваемый бренд</w:t>
            </w:r>
          </w:p>
        </w:tc>
      </w:tr>
      <w:tr>
        <w:tc>
          <w:tcPr/>
          <w:p>
            <w:r>
              <w:t>Порча/списание скоропортящегося товара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Контроль запасов, принцип FIFO, гибкое меню под остатки</w:t>
            </w:r>
          </w:p>
        </w:tc>
      </w:tr>
      <w:tr>
        <w:tc>
          <w:tcPr/>
          <w:p>
            <w:r>
              <w:t>Рост комиссий и зависимость от агрегаторов доставки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0,60</w:t>
            </w:r>
          </w:p>
        </w:tc>
        <w:tc>
          <w:tcPr/>
          <w:p>
            <w:r>
              <w:t>Развитие собственных каналов продаж (соцсети, повторные заказы) параллельно с маркетплейсами</w:t>
            </w:r>
          </w:p>
        </w:tc>
      </w:tr>
      <w:tr>
        <w:tc>
          <w:tcPr/>
          <w:p>
            <w:r>
              <w:t>Изменение потребительского спроса и трендов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Регулярный анализ продаж и ассортимента, тестирование новых позиций малыми партиями</w:t>
            </w:r>
          </w:p>
        </w:tc>
      </w:tr>
      <w:tr>
        <w:tc>
          <w:tcPr/>
          <w:p>
            <w:r>
              <w:t>Рост арендных ставок в проходных локациях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Долгосрочный договор аренды с фиксацией ставки, резервная локация</w:t>
            </w:r>
          </w:p>
        </w:tc>
      </w:tr>
      <w:tr>
        <w:tc>
          <w:tcPr/>
          <w:p>
            <w:r>
              <w:t>Дефицит и текучесть линейного персонала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Понятная система мотивации, обучение при найме, комфортные условия труда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2,75 из 5</w:t>
            </w:r>
          </w:p>
        </w:tc>
        <w:tc>
          <w:tcPr/>
          <w:p/>
        </w:tc>
      </w:tr>
    </w:tbl>
    <w:p>
      <w:r>
        <w:t>Итоговая взвешенная оценка (2,75 из 5) отражает экспертную оценку совокупного уровня риска проекта.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создаёт 4 рабочих места и добавляет качественную точку формата «кофе с собой» в спальном районе Ташкента с диверсифицированной выручкой (точка, доставка, опт, корпоративные заказы).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