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Custom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body>
    <w:p>
      <w:pPr>
        <w:pStyle w:val="Title"/>
        <ck:id v="section"/>
      </w:pPr>
      <w:bookmarkStart w:id="0" w:name="section"/>
      <w:r>
        <w:t>ТЕХНИКО-ЭКОНОМИЧЕСКОЕ ОБОСНОВАНИЕ ПРОЕКТА</w:t>
      </w:r>
      <w:bookmarkEnd w:id="0"/>
    </w:p>
    <w:p>
      <w:r>
        <w:rPr>
          <w:rStyle w:val="CkMuted"/>
        </w:rPr>
        <w:t>Расширенный образец (ТЭО) для отрасли «Туризм и индустрия гостеприимства» — по структуре, близкой к банковской</w:t>
      </w:r>
    </w:p>
    <w:p>
      <w:r>
        <w:t>Наименование проекта: [впишите]</w:t>
      </w:r>
      <w:r>
        <w:br/>
      </w:r>
      <w:r>
        <w:t>Инициатор / заёмщик: [впишите]</w:t>
      </w:r>
      <w:r>
        <w:br/>
      </w:r>
      <w:r>
        <w:t>Регион реализации: [впишите]</w:t>
      </w:r>
      <w:r>
        <w:br/>
      </w:r>
      <w:r>
        <w:t>Полная стоимость проекта, сум: [впишите]</w:t>
      </w:r>
      <w:r>
        <w:br/>
      </w:r>
      <w:r>
        <w:t>Дата составления: [впишите]</w:t>
      </w:r>
    </w:p>
    <w:p>
      <w:r>
        <w:rPr>
          <w:rStyle w:val="CkCaption"/>
          <w:i/>
        </w:rPr>
        <w:t>Это расширенный образец (шаблон) MoliyaHub, построенный по структуре типового технико-экономического обоснования (ТЭО), которое банки Узбекистана обычно запрашивают при рассмотрении кредитной заявки на инвестиционный проект — с меморандумом о конфиденциальности, разделом о заёмщике, структурой финансирования, таблицей персонала и взвешенной оценкой рисков. Это НЕ более простой типовой бизнес-план (тот доступен на MoliyaHub отдельным файлом для той же отрасли) — это более полный и подробный формат для тех, кто готовит заявку сразу под требования банка. Все суммы и показатели ниже — иллюстративный пример для вымышленной компании, основанный на рыночных ориентирах 2025-2026 года и экспертных оценках порядка величины, а НЕ факт о реальной компании и не финансовая отчётность. Реквизиты заёмщика (ИНН, адрес, учредители, паспортные данные) должны быть заполнены вашими настоящими данными — образец сознательно не содержит вымышленных номеров документов, чтобы их нельзя было принять за реальные. Полная финансовая модель с рабочими формулами (16 связанных листов: смета, финансирование, амортизация, себестоимость по месяцам, график кредита, P&amp;L, рабочий капитал, поток наличности, NPV/IRR, точка безубыточности, прогнозный баланс) — в отдельном Excel-файле с тем же названием, который дополняет этот документ.</w:t>
      </w:r>
    </w:p>
    <w:p>
      <w:pPr>
        <w:pStyle w:val="Heading2"/>
        <ck:id v="confidentiality"/>
      </w:pPr>
      <w:bookmarkStart w:id="1" w:name="confidentiality"/>
      <w:r>
        <w:t>Меморандум о конфиденциальности</w:t>
      </w:r>
      <w:bookmarkEnd w:id="1"/>
    </w:p>
    <w:p>
      <w:r>
        <w:t>Настоящий документ и приложенная к нему финансовая модель содержат информацию о планируемой хозяйственной деятельности заёмщика и предназначены исключительно для рассмотрения кредитующим банком (инвестором) в целях принятия решения об участии в проекте. Документ не подлежит копированию или передаче третьим лицам без письменного согласия заёмщика, за исключением случаев, предусмотренных законодательством Республики Узбекистан. Все финансовые показатели являются прогнозными и не гарантируют фактического результата.</w:t>
      </w:r>
    </w:p>
    <w:p>
      <w:r>
        <w:t>[Впишите] При подготовке реальной заявки замените этот раздел меморандумом о конфиденциальности вашей компании либо согласуйте формулировку с юристом и требованиями конкретного банка.</w:t>
      </w:r>
    </w:p>
    <w:p>
      <w:pPr>
        <w:pStyle w:val="Heading2"/>
        <ck:id v="resume"/>
      </w:pPr>
      <w:bookmarkStart w:id="2" w:name="resume"/>
      <w:r>
        <w:t>Резюме проекта</w:t>
      </w:r>
      <w:bookmarkEnd w:id="2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ЧП «Registon Mehmon Uyi» реализует проект «Открытие гостевого дома на 8 номеров в Бухаре»: Гостевой дом на 8 номеров в историческом центре Бухары для индивидуальных туристов из Европы и Юго-Восточной Азии. Полная стоимость проекта — 940 000 000 сум, из которых 860 000 000 сум — банковский кредит на 60 месяцев под 22% годовых с льготным периодом 6 месяца(ев), остальное — собственный капитал инициатора. При выходе на проектную мощность выручка составляет 80 000 000 сум/мес; см. раздел «Финансовый план» ниже по срокам окупаемости.</w:t>
                </w:r>
              </w:p>
            </w:tc>
          </w:tr>
        </w:tbl>
      </w:sdtContent>
    </w:sdt>
    <w:p>
      <w:r>
        <w:t>[Впишите] В 5-8 предложениях: суть проекта, какую проблему решает, для кого, требуемая сумма инвестиций и на что она пойдёт, ожидаемый результат (выручка/прибыль/срок окупаемости).</w:t>
      </w:r>
    </w:p>
    <w:p>
      <w:pPr>
        <w:pStyle w:val="Heading2"/>
        <ck:id v="borrower"/>
      </w:pPr>
      <w:bookmarkStart w:id="3" w:name="borrower"/>
      <w:r>
        <w:t>Информация о заёмщике</w:t>
      </w:r>
      <w:bookmarkEnd w:id="3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Реквизит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Полное наименование</w:t>
            </w:r>
          </w:p>
        </w:tc>
        <w:tc>
          <w:tcPr/>
          <w:p>
            <w:r>
              <w:t>ЧП «Registon Mehmon Uyi» (пример)</w:t>
            </w:r>
          </w:p>
        </w:tc>
      </w:tr>
      <w:tr>
        <w:tc>
          <w:tcPr/>
          <w:p>
            <w:r>
              <w:t>Организационно-правовая форма</w:t>
            </w:r>
          </w:p>
        </w:tc>
        <w:tc>
          <w:tcPr/>
          <w:p>
            <w:r>
              <w:t>ЧП</w:t>
            </w:r>
          </w:p>
        </w:tc>
      </w:tr>
      <w:tr>
        <w:tc>
          <w:tcPr/>
          <w:p>
            <w:r>
              <w:t>Регион / адрес</w:t>
            </w:r>
          </w:p>
        </w:tc>
        <w:tc>
          <w:tcPr/>
          <w:p>
            <w:r>
              <w:t>[Впишите] — юридический и фактический адрес</w:t>
            </w:r>
          </w:p>
        </w:tc>
      </w:tr>
      <w:tr>
        <w:tc>
          <w:tcPr/>
          <w:p>
            <w:r>
              <w:t>ИНН / № свидетельства о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Учредители и доли</w:t>
            </w:r>
          </w:p>
        </w:tc>
        <w:tc>
          <w:tcPr/>
          <w:p>
            <w:r>
              <w:t>[Впишите] — Ф.И.О. / наименование, доли участия</w:t>
            </w:r>
          </w:p>
        </w:tc>
      </w:tr>
      <w:tr>
        <w:tc>
          <w:tcPr/>
          <w:p>
            <w:r>
              <w:t>Основной вид деятельности</w:t>
            </w:r>
          </w:p>
        </w:tc>
        <w:tc>
          <w:tcPr/>
          <w:p>
            <w:r>
              <w:t>Туризм и индустрия гостеприимства</w:t>
            </w:r>
          </w:p>
        </w:tc>
      </w:tr>
      <w:tr>
        <w:tc>
          <w:tcPr/>
          <w:p>
            <w:r>
              <w:t>Дата государственной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Руководитель</w:t>
            </w:r>
          </w:p>
        </w:tc>
        <w:tc>
          <w:tcPr/>
          <w:p>
            <w:r>
              <w:t>[Впишите] — Ф.И.О., должность</w:t>
            </w:r>
          </w:p>
        </w:tc>
      </w:tr>
      <w:tr>
        <w:tc>
          <w:tcPr/>
          <w:p>
            <w:r>
              <w:t>Банковские реквизиты</w:t>
            </w:r>
          </w:p>
        </w:tc>
        <w:tc>
          <w:tcPr/>
          <w:p>
            <w:r>
              <w:t>[Впишите] — обслуживающий банк, расчётный счёт</w:t>
            </w:r>
          </w:p>
        </w:tc>
      </w:tr>
    </w:tbl>
    <w:p>
      <w:r>
        <w:t>[Впишите] Реквизиты выше — не заполняйте вымышленными номерами: используйте настоящие данные вашей организации при подаче в банк.</w:t>
      </w:r>
    </w:p>
    <w:p>
      <w:pPr>
        <w:pStyle w:val="Heading2"/>
        <ck:id v="project-description"/>
      </w:pPr>
      <w:bookmarkStart w:id="4" w:name="project_description"/>
      <w:r>
        <w:t>Описание проекта</w:t>
      </w:r>
      <w:bookmarkEnd w:id="4"/>
    </w:p>
    <w:p>
      <w:r>
        <w:t>[Впишите] Организационно-правовая форма, текущий статус проекта (идея / действующий бизнес / расширение), уникальное торговое предложение, этапы реализации.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(1) реставрация здания и меблировка под 8 номеров — месяцы 1-2; (2) подключение к OTA-платформам, профессиональная фотосъёмка, первые бронирования — месяцы 2-3; (3) выход на плановую загрузку ~55% — с 6-го месяца, с выраженной сезонностью в течение года.</w:t>
                </w:r>
              </w:p>
            </w:tc>
          </w:tr>
        </w:tbl>
      </w:sdtContent>
    </w:sdt>
    <w:p>
      <w:pPr>
        <w:pStyle w:val="Heading2"/>
        <ck:id v="market"/>
      </w:pPr>
      <w:bookmarkStart w:id="5" w:name="market"/>
      <w:r>
        <w:t>Анализ рынка: Туризм и индустрия гостеприимства</w:t>
      </w:r>
      <w:bookmarkEnd w:id="5"/>
    </w:p>
    <w:p>
      <w:pPr>
        <w:pStyle w:val="ListParagraph"/>
        <w:numPr>
          <w:ilvl w:val="0"/>
          <w:numId w:val="1"/>
        </w:numPr>
      </w:pPr>
      <w:r>
        <w:t>Узбекистан переживает бум въездного туризма: за январь–июль 2026 года страну посетили 7,74 млн иностранных туристов — рост на 22,6% год к году, экспорт туристических услуг достиг $3,895 млрд (+56% год к году) (nuz.uz, uzdaily.uz).</w:t>
      </w:r>
    </w:p>
    <w:p>
      <w:pPr>
        <w:pStyle w:val="ListParagraph"/>
        <w:numPr>
          <w:ilvl w:val="0"/>
          <w:numId w:val="1"/>
        </w:numPr>
      </w:pPr>
      <w:r>
        <w:t>Узбекистан входит в топ-5 стран мира по темпам роста туристического потока (yuz.uz) — окно возможностей, но и быстрый приток новых игроков.</w:t>
      </w:r>
    </w:p>
    <w:p>
      <w:pPr>
        <w:pStyle w:val="ListParagraph"/>
        <w:numPr>
          <w:ilvl w:val="0"/>
          <w:numId w:val="1"/>
        </w:numPr>
      </w:pPr>
      <w:r>
        <w:t>Инфраструктура размещения растёт вслед за спросом: только за первые 7 месяцев 2026 года появилось 705 новых объектов размещения (nuz.uz) — рынок мини-отелей активно насыщается, особенно в Самарканде, Бухаре и Хиве.</w:t>
      </w:r>
    </w:p>
    <w:p>
      <w:pPr>
        <w:pStyle w:val="ListParagraph"/>
        <w:numPr>
          <w:ilvl w:val="0"/>
          <w:numId w:val="1"/>
        </w:numPr>
      </w:pPr>
      <w:r>
        <w:t>Действует упрощённое лицензирование малых средств размещения; для многих направлений действует упрощённый или безвизовый режим въезда.</w:t>
      </w:r>
    </w:p>
    <w:p>
      <w:pPr>
        <w:pStyle w:val="ListParagraph"/>
        <w:numPr>
          <w:ilvl w:val="0"/>
          <w:numId w:val="1"/>
        </w:numPr>
      </w:pPr>
      <w:r>
        <w:t>Растёт спрос на нишевые форматы (гастрономический, паломнический, эко-туризм) и культурно-исторический туризм вне «золотого треугольника» — менее насыщенные регионы дают больше пространства для нового бизнеса.</w:t>
      </w:r>
    </w:p>
    <w:p>
      <w:pPr>
        <w:pStyle w:val="ListParagraph"/>
        <w:numPr>
          <w:ilvl w:val="0"/>
          <w:numId w:val="1"/>
        </w:numPr>
      </w:pPr>
      <w:r>
        <w:t>[Впишите] Уточните актуальные объёмы рынка, цены и конкурентов в вашем конкретном сегменте и регионе по данным отраслевой статистики и профильных ассоциаций.</w:t>
      </w:r>
    </w:p>
    <w:p>
      <w:pPr>
        <w:pStyle w:val="Heading3"/>
        <ck:id v="section-1"/>
      </w:pPr>
      <w:bookmarkStart w:id="6" w:name="section_1"/>
      <w:r>
        <w:t>Конкуренты</w:t>
      </w:r>
      <w:bookmarkEnd w:id="6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 — вымышленные компании для иллюстрации формата таблицы</w:t>
                </w:r>
              </w:p>
              <w:tbl>
                <w:tblPr>
                  <w:tblStyle w:val="CkTable"/>
                  <w:tblW w:w="0" w:type="auto"/>
                  <w:tblLayout w:type="autofit"/>
                  <w:tblLook w:firstRow="1" w:lastRow="0" w:firstColumn="0" w:lastColumn="0" w:noHBand="0" w:noVBand="1"/>
                </w:tblPr>
                <w:tblGrid>
                  <w:gridCol/>
                  <w:gridCol/>
                  <w:gridCol/>
                  <w:gridCol/>
                </w:tblGrid>
                <w:tr>
                  <w:trPr>
                    <w:tblHeader/>
                  </w:trPr>
                  <w:tc>
                    <w:tcPr/>
                    <w:p>
                      <w:r>
                        <w:rPr>
                          <w:b/>
                        </w:rPr>
                        <w:t>Конкурент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Профиль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Сильные стороны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Слабые стороны</w:t>
                      </w:r>
                    </w:p>
                  </w:tc>
                </w:tr>
                <w:tr>
                  <w:tc>
                    <w:tcPr/>
                    <w:p>
                      <w:r>
                        <w:t>Гостевой дом «Ipak Yoli Inn»</w:t>
                      </w:r>
                    </w:p>
                  </w:tc>
                  <w:tc>
                    <w:tcPr/>
                    <w:p>
                      <w:r>
                        <w:t>8 номеров, историч. центр Бухары, индивидуальные туристы из Европы/ЮВА</w:t>
                      </w:r>
                    </w:p>
                  </w:tc>
                  <w:tc>
                    <w:tcPr/>
                    <w:p>
                      <w:r>
                        <w:t>аутентичный дизайн, сильный рейтинг на OTA</w:t>
                      </w:r>
                    </w:p>
                  </w:tc>
                  <w:tc>
                    <w:tcPr/>
                    <w:p>
                      <w:r>
                        <w:t>малая номерная база, ограничен рост без расширения</w:t>
                      </w:r>
                    </w:p>
                  </w:tc>
                </w:tr>
                <w:tr>
                  <w:tc>
                    <w:tcPr/>
                    <w:p>
                      <w:r>
                        <w:t>Мини-отель «Buxoro Saroy»</w:t>
                      </w:r>
                    </w:p>
                  </w:tc>
                  <w:tc>
                    <w:tcPr/>
                    <w:p>
                      <w:r>
                        <w:t>10 номеров рядом с историческим центром</w:t>
                      </w:r>
                    </w:p>
                  </w:tc>
                  <w:tc>
                    <w:tcPr/>
                    <w:p>
                      <w:r>
                        <w:t>крупнее номерной фонд, конференц-зал</w:t>
                      </w:r>
                    </w:p>
                  </w:tc>
                  <w:tc>
                    <w:tcPr/>
                    <w:p>
                      <w:r>
                        <w:t>менее аутентичный интерьер, выше цена</w:t>
                      </w:r>
                    </w:p>
                  </w:tc>
                </w:tr>
                <w:tr>
                  <w:tc>
                    <w:tcPr/>
                    <w:p>
                      <w:r>
                        <w:t>Хостел «Silk Road Backpackers»</w:t>
                      </w:r>
                    </w:p>
                  </w:tc>
                  <w:tc>
                    <w:tcPr/>
                    <w:p>
                      <w:r>
                        <w:t>бюджетный формат для молодых туристов и backpacker'ов</w:t>
                      </w:r>
                    </w:p>
                  </w:tc>
                  <w:tc>
                    <w:tcPr/>
                    <w:p>
                      <w:r>
                        <w:t>низкая цена, привлекает объёмом</w:t>
                      </w:r>
                    </w:p>
                  </w:tc>
                  <w:tc>
                    <w:tcPr/>
                    <w:p>
                      <w:r>
                        <w:t>не конкурирует в сегменте индивидуальных туристов среднего чека</w:t>
                      </w:r>
                    </w:p>
                  </w:tc>
                </w:tr>
                <w:tr>
                  <w:tc>
                    <w:tcPr/>
                    <w:p>
                      <w:r>
                        <w:t>Гостевой дом «Chorsu Uyi»</w:t>
                      </w:r>
                    </w:p>
                  </w:tc>
                  <w:tc>
                    <w:tcPr/>
                    <w:p>
                      <w:r>
                        <w:t>семейный гостевой дом с акцентом на местную кухню</w:t>
                      </w:r>
                    </w:p>
                  </w:tc>
                  <w:tc>
                    <w:tcPr/>
                    <w:p>
                      <w:r>
                        <w:t>сильная кухня, гастрономический туризм</w:t>
                      </w:r>
                    </w:p>
                  </w:tc>
                  <w:tc>
                    <w:tcPr/>
                    <w:p>
                      <w:r>
                        <w:t>меньше присутствия на международных OTA</w:t>
                      </w:r>
                    </w:p>
                  </w:tc>
                </w:tr>
              </w:tbl>
              <w:p/>
            </w:tc>
          </w:tr>
        </w:tbl>
      </w:sdtContent>
    </w:sdt>
    <w:p>
      <w:r>
        <w:t>[Впишите] Список из 3-5 РЕАЛЬНЫХ прямых конкурентов вашего проекта (компании выше — вымышленный пример для иллюстрации формата), их сильные и слабые стороны, чем вы отличаетесь.</w:t>
      </w:r>
    </w:p>
    <w:p>
      <w:pPr>
        <w:pStyle w:val="Heading3"/>
        <ck:id v="section-2"/>
      </w:pPr>
      <w:bookmarkStart w:id="7" w:name="section_2"/>
      <w:r>
        <w:t>Конкурентный ответ</w:t>
      </w:r>
      <w:bookmarkEnd w:id="7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Фактор конкуренции</w:t>
            </w:r>
          </w:p>
        </w:tc>
        <w:tc>
          <w:tcPr/>
          <w:p>
            <w:r>
              <w:rPr>
                <w:b/>
              </w:rPr>
              <w:t>Подход компании</w:t>
            </w:r>
          </w:p>
        </w:tc>
      </w:tr>
      <w:tr>
        <w:tc>
          <w:tcPr/>
          <w:p>
            <w:r>
              <w:t>Позиционирование</w:t>
            </w:r>
          </w:p>
        </w:tc>
        <w:tc>
          <w:tcPr/>
          <w:p>
            <w:r>
              <w:t>аутентичный дизайн исторического здания + завтрак из местной кухни — не конкуренция только по цене</w:t>
            </w:r>
          </w:p>
        </w:tc>
      </w:tr>
      <w:tr>
        <w:tc>
          <w:tcPr/>
          <w:p>
            <w:r>
              <w:t>Каналы продаж</w:t>
            </w:r>
          </w:p>
        </w:tc>
        <w:tc>
          <w:tcPr/>
          <w:p>
            <w:r>
              <w:t>листинг на Booking.com/Airbnb с профессиональными фото + партнёрство с местными гидами и туроператорами</w:t>
            </w:r>
          </w:p>
        </w:tc>
      </w:tr>
      <w:tr>
        <w:tc>
          <w:tcPr/>
          <w:p>
            <w:r>
              <w:t>Управление репутацией</w:t>
            </w:r>
          </w:p>
        </w:tc>
        <w:tc>
          <w:tcPr/>
          <w:p>
            <w:r>
              <w:t>системная работа с отзывами на площадках бронирования для удержания рейтинга</w:t>
            </w:r>
          </w:p>
        </w:tc>
      </w:tr>
    </w:tbl>
    <w:p>
      <w:pPr>
        <w:pStyle w:val="Heading3"/>
        <ck:id v="section-3"/>
      </w:pPr>
      <w:bookmarkStart w:id="8" w:name="section_3"/>
      <w:r>
        <w:t>Целевая аудитория</w:t>
      </w:r>
      <w:bookmarkEnd w:id="8"/>
    </w:p>
    <w:p>
      <w:r>
        <w:t>[Впишите] Портрет основного клиента. Пример: Индивидуальные туристы из Европы и Юго-Восточной Азии, ищущие аутентичное размещение в историческом центре; для них важны дизайн/атмосфера, рейтинг на Booking.com/Airbnb и близость к достопримечательностям.</w:t>
      </w:r>
    </w:p>
    <w:p>
      <w:pPr>
        <w:pStyle w:val="Heading2"/>
        <ck:id v="marketing"/>
      </w:pPr>
      <w:bookmarkStart w:id="9" w:name="marketing"/>
      <w:r>
        <w:t>Маркетинговый план</w:t>
      </w:r>
      <w:bookmarkEnd w:id="9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Цена — на уровне среднего чека по Бухаре с наценкой за аутентичный дизайн и завтрак из местной кухни; продвижение — листинг на Booking.com и Airbnb с профессиональными фото, партнёрство с местными гидами и туроператорами, работа с отзывами для рейтинга площадок.</w:t>
                </w:r>
              </w:p>
            </w:tc>
          </w:tr>
        </w:tbl>
      </w:sdtContent>
    </w:sdt>
    <w:p>
      <w:r>
        <w:t>[Впишите] Ценообразование, каналы продвижения и продаж, план привлечения первых клиентов.</w:t>
      </w:r>
    </w:p>
    <w:p>
      <w:pPr>
        <w:pStyle w:val="Heading2"/>
        <ck:id v="org"/>
      </w:pPr>
      <w:bookmarkStart w:id="10" w:name="org"/>
      <w:r>
        <w:t>Организационный план и персонал</w:t>
      </w:r>
      <w:bookmarkEnd w:id="10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Управляющий (административный блок) и производственный персонал: 2 администратора-горничные, повар, уборщица, охранник. Форма — ЧП.</w:t>
                </w:r>
              </w:p>
            </w:tc>
          </w:tr>
        </w:tbl>
      </w:sdtContent>
    </w:sdt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Должность</w:t>
            </w:r>
          </w:p>
        </w:tc>
        <w:tc>
          <w:tcPr/>
          <w:p>
            <w:r>
              <w:rPr>
                <w:b/>
              </w:rPr>
              <w:t>Кол-во, чел.</w:t>
            </w:r>
          </w:p>
        </w:tc>
        <w:tc>
          <w:tcPr/>
          <w:p>
            <w:r>
              <w:rPr>
                <w:b/>
              </w:rPr>
              <w:t>Оклад, сум/мес</w:t>
            </w:r>
          </w:p>
        </w:tc>
        <w:tc>
          <w:tcPr/>
          <w:p>
            <w:r>
              <w:rPr>
                <w:b/>
              </w:rPr>
              <w:t>ФОТ, сум/мес</w:t>
            </w:r>
          </w:p>
        </w:tc>
        <w:tc>
          <w:tcPr/>
          <w:p>
            <w:r>
              <w:rPr>
                <w:b/>
              </w:rPr>
              <w:t>Категория</w:t>
            </w:r>
          </w:p>
        </w:tc>
      </w:tr>
      <w:tr>
        <w:tc>
          <w:tcPr/>
          <w:p>
            <w:r>
              <w:t>Администраторы-горничные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3 500 000</w:t>
            </w:r>
          </w:p>
        </w:tc>
        <w:tc>
          <w:tcPr/>
          <w:p>
            <w:r>
              <w:t>7 000 000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Повар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3 500 000</w:t>
            </w:r>
          </w:p>
        </w:tc>
        <w:tc>
          <w:tcPr/>
          <w:p>
            <w:r>
              <w:t>3 500 000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Уборщица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2 500 000</w:t>
            </w:r>
          </w:p>
        </w:tc>
        <w:tc>
          <w:tcPr/>
          <w:p>
            <w:r>
              <w:t>2 500 000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Охранник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3 500 000</w:t>
            </w:r>
          </w:p>
        </w:tc>
        <w:tc>
          <w:tcPr/>
          <w:p>
            <w:r>
              <w:t>3 500 000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Управляющий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6 500 000</w:t>
            </w:r>
          </w:p>
        </w:tc>
        <w:tc>
          <w:tcPr/>
          <w:p>
            <w:r>
              <w:t>6 500 000</w:t>
            </w:r>
          </w:p>
        </w:tc>
        <w:tc>
          <w:tcPr/>
          <w:p>
            <w:r>
              <w:t>Административный</w:t>
            </w:r>
          </w:p>
        </w:tc>
      </w:tr>
      <w:tr>
        <w:tc>
          <w:tcPr/>
          <w:p>
            <w:r>
              <w:rPr>
                <w:b/>
              </w:rPr>
              <w:t>Итого персонал</w:t>
            </w:r>
          </w:p>
        </w:tc>
        <w:tc>
          <w:tcPr/>
          <w:p>
            <w:r>
              <w:rPr>
                <w:b/>
              </w:rPr>
              <w:t>6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23 000 000</w:t>
            </w:r>
          </w:p>
        </w:tc>
        <w:tc>
          <w:tcPr/>
          <w:p/>
        </w:tc>
      </w:tr>
      <w:tr>
        <w:tc>
          <w:tcPr/>
          <w:p>
            <w:r>
              <w:t>ЕСП (единый социальный платёж, 12% от ФОТ)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t>2 760 000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ФОТ с ЕСП, сум/мес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rPr>
                <w:b/>
              </w:rPr>
              <w:t>25 760 000</w:t>
            </w:r>
          </w:p>
        </w:tc>
        <w:tc>
          <w:tcPr/>
          <w:p/>
        </w:tc>
      </w:tr>
    </w:tbl>
    <w:p>
      <w:r>
        <w:t>[Впишите] Штатное расписание, оклады и организационно-правовая форма вашей компании.</w:t>
      </w:r>
    </w:p>
    <w:p>
      <w:pPr>
        <w:pStyle w:val="Heading2"/>
        <ck:id v="financing"/>
      </w:pPr>
      <w:bookmarkStart w:id="11" w:name="financing"/>
      <w:r>
        <w:t>Смета проекта и структура финансирования</w:t>
      </w:r>
      <w:bookmarkEnd w:id="11"/>
    </w:p>
    <w:p>
      <w:r>
        <w:rPr>
          <w:b/>
        </w:rPr>
        <w:t>Смета проекта (стартовые инвестиции)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Тип актива</w:t>
            </w:r>
          </w:p>
        </w:tc>
      </w:tr>
      <w:tr>
        <w:tc>
          <w:tcPr/>
          <w:p>
            <w:r>
              <w:t>Ремонт/обустройство помещения под номерной фонд</w:t>
            </w:r>
          </w:p>
        </w:tc>
        <w:tc>
          <w:tcPr/>
          <w:p>
            <w:r>
              <w:t>620 000 000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Мебель и оборудование</w:t>
            </w:r>
          </w:p>
        </w:tc>
        <w:tc>
          <w:tcPr/>
          <w:p>
            <w:r>
              <w:t>240 000 000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Регистрация и сертификация гостиницы</w:t>
            </w:r>
          </w:p>
        </w:tc>
        <w:tc>
          <w:tcPr/>
          <w:p>
            <w:r>
              <w:t>20 000 000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Продвижение на туристических платформах</w:t>
            </w:r>
          </w:p>
        </w:tc>
        <w:tc>
          <w:tcPr/>
          <w:p>
            <w:r>
              <w:t>30 000 000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Профессиональная фотосъёмка объекта</w:t>
            </w:r>
          </w:p>
        </w:tc>
        <w:tc>
          <w:tcPr/>
          <w:p>
            <w:r>
              <w:t>10 000 000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Лицензии на доп. услуги</w:t>
            </w:r>
          </w:p>
        </w:tc>
        <w:tc>
          <w:tcPr/>
          <w:p>
            <w:r>
              <w:t>20 000 000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Итого основные средства</w:t>
            </w:r>
          </w:p>
        </w:tc>
        <w:tc>
          <w:tcPr/>
          <w:p>
            <w:r>
              <w:rPr>
                <w:b/>
              </w:rPr>
              <w:t>860 000 000</w:t>
            </w:r>
          </w:p>
        </w:tc>
        <w:tc>
          <w:tcPr/>
          <w:p/>
        </w:tc>
      </w:tr>
      <w:tr>
        <w:tc>
          <w:tcPr/>
          <w:p>
            <w:r>
              <w:t>Итого оборотные средства</w:t>
            </w:r>
          </w:p>
        </w:tc>
        <w:tc>
          <w:tcPr/>
          <w:p>
            <w:r>
              <w:rPr>
                <w:b/>
              </w:rPr>
              <w:t>80 000 000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СМЕТА ПРОЕКТА</w:t>
            </w:r>
          </w:p>
        </w:tc>
        <w:tc>
          <w:tcPr/>
          <w:p>
            <w:r>
              <w:rPr>
                <w:b/>
              </w:rPr>
              <w:t>940 000 000</w:t>
            </w:r>
          </w:p>
        </w:tc>
        <w:tc>
          <w:tcPr/>
          <w:p/>
        </w:tc>
      </w:tr>
    </w:tbl>
    <w:p>
      <w:r>
        <w:rPr>
          <w:rStyle w:val="CkCaption"/>
          <w:i/>
        </w:rPr>
        <w:t>В этом примере расчётная величина дополнительного финансирования оборотного капитала на выход на мощность равна нулю — стартовых статей ниже (плюс условия кредита: льготный период 6 мес.) достаточно, чтобы денежный поток оставался положительным весь Год 1 без дополнительного пополнения (см. лист «Поток наличности» в Excel).</w:t>
      </w:r>
    </w:p>
    <w:p>
      <w:r>
        <w:rPr>
          <w:b/>
        </w:rPr>
        <w:t>Структура финансирования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Источник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Доля, %</w:t>
            </w:r>
          </w:p>
        </w:tc>
      </w:tr>
      <w:tr>
        <w:tc>
          <w:tcPr/>
          <w:p>
            <w:r>
              <w:t>Банковский кредит</w:t>
            </w:r>
          </w:p>
        </w:tc>
        <w:tc>
          <w:tcPr/>
          <w:p>
            <w:r>
              <w:t>860 000 000</w:t>
            </w:r>
          </w:p>
        </w:tc>
        <w:tc>
          <w:tcPr/>
          <w:p>
            <w:r>
              <w:t>89,3%</w:t>
            </w:r>
          </w:p>
        </w:tc>
      </w:tr>
      <w:tr>
        <w:tc>
          <w:tcPr/>
          <w:p>
            <w:r>
              <w:t>Собственный капитал инициатора</w:t>
            </w:r>
          </w:p>
        </w:tc>
        <w:tc>
          <w:tcPr/>
          <w:p>
            <w:r>
              <w:t>103 500 000</w:t>
            </w:r>
          </w:p>
        </w:tc>
        <w:tc>
          <w:tcPr/>
          <w:p>
            <w:r>
              <w:t>10,7%</w:t>
            </w:r>
          </w:p>
        </w:tc>
      </w:tr>
      <w:tr>
        <w:tc>
          <w:tcPr/>
          <w:p>
            <w:r>
              <w:rPr>
                <w:b/>
              </w:rPr>
              <w:t>ИТОГО ПОТРЕБНОСТЬ В ФИНАНСИРОВАНИИ</w:t>
            </w:r>
          </w:p>
        </w:tc>
        <w:tc>
          <w:tcPr/>
          <w:p>
            <w:r>
              <w:rPr>
                <w:b/>
              </w:rPr>
              <w:t>963 500 000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</w:tr>
    </w:tbl>
    <w:p>
      <w:r>
        <w:rPr>
          <w:b/>
        </w:rPr>
        <w:t>Условия кредита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Параметр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Сумма кредита</w:t>
            </w:r>
          </w:p>
        </w:tc>
        <w:tc>
          <w:tcPr/>
          <w:p>
            <w:r>
              <w:t>860 000 000 сум</w:t>
            </w:r>
          </w:p>
        </w:tc>
      </w:tr>
      <w:tr>
        <w:tc>
          <w:tcPr/>
          <w:p>
            <w:r>
              <w:t>Срок</w:t>
            </w:r>
          </w:p>
        </w:tc>
        <w:tc>
          <w:tcPr/>
          <w:p>
            <w:r>
              <w:t>60 месяцев</w:t>
            </w:r>
          </w:p>
        </w:tc>
      </w:tr>
      <w:tr>
        <w:tc>
          <w:tcPr/>
          <w:p>
            <w:r>
              <w:t>Процентная ставка</w:t>
            </w:r>
          </w:p>
        </w:tc>
        <w:tc>
          <w:tcPr/>
          <w:p>
            <w:r>
              <w:t>22% годовых</w:t>
            </w:r>
          </w:p>
        </w:tc>
      </w:tr>
      <w:tr>
        <w:tc>
          <w:tcPr/>
          <w:p>
            <w:r>
              <w:t>Льготный период (уплата только процентов)</w:t>
            </w:r>
          </w:p>
        </w:tc>
        <w:tc>
          <w:tcPr/>
          <w:p>
            <w:r>
              <w:t>6 месяца(ев)</w:t>
            </w:r>
          </w:p>
        </w:tc>
      </w:tr>
      <w:tr>
        <w:tc>
          <w:tcPr/>
          <w:p>
            <w:r>
              <w:t>Порядок погашения основного долга</w:t>
            </w:r>
          </w:p>
        </w:tc>
        <w:tc>
          <w:tcPr/>
          <w:p>
            <w:r>
              <w:t>равными долями после льготного периода</w:t>
            </w:r>
          </w:p>
        </w:tc>
      </w:tr>
      <w:tr>
        <w:tc>
          <w:tcPr/>
          <w:p>
            <w:r>
              <w:t>Разовые сборы (комиссия банка 1,5%, нотариальное оформление залога, страхование залога 1%)</w:t>
            </w:r>
          </w:p>
        </w:tc>
        <w:tc>
          <w:tcPr/>
          <w:p>
            <w:r>
              <w:t>23 500 000 сум</w:t>
            </w:r>
          </w:p>
        </w:tc>
      </w:tr>
    </w:tbl>
    <w:p>
      <w:r>
        <w:t>[Впишите] Замените суммы, условия кредита и долю собственного капитала на данные вашего проекта — банк оценивает прежде всего долю собственного участия заёмщика и достаточность залогового обеспечения.</w:t>
      </w:r>
    </w:p>
    <w:p>
      <w:pPr>
        <w:pStyle w:val="Heading2"/>
        <ck:id v="financial-plan"/>
      </w:pPr>
      <w:bookmarkStart w:id="12" w:name="financial_plan"/>
      <w:r>
        <w:t>Финансовый план</w:t>
      </w:r>
      <w:bookmarkEnd w:id="12"/>
    </w:p>
    <w:p>
      <w:r>
        <w:rPr>
          <w:rStyle w:val="CkCaption"/>
          <w:i/>
        </w:rPr>
        <w:t>Показатели ниже рассчитаны в приложенном Excel-файле по формулам и приведены здесь для удобства чтения; при изменении исходных данных в Excel все цифры пересчитаются автоматически.</w:t>
      </w:r>
    </w:p>
    <w:p>
      <w:r>
        <w:rPr>
          <w:b/>
        </w:rPr>
        <w:t>Выручка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Канал сбыта</w:t>
            </w:r>
          </w:p>
        </w:tc>
        <w:tc>
          <w:tcPr/>
          <w:p>
            <w:r>
              <w:rPr>
                <w:b/>
              </w:rPr>
              <w:t>Доля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</w:tr>
      <w:tr>
        <w:tc>
          <w:tcPr/>
          <w:p>
            <w:r>
              <w:t>Проживание</w:t>
            </w:r>
          </w:p>
        </w:tc>
        <w:tc>
          <w:tcPr/>
          <w:p>
            <w:r>
              <w:t>79%</w:t>
            </w:r>
          </w:p>
        </w:tc>
        <w:tc>
          <w:tcPr/>
          <w:p>
            <w:r>
              <w:t>63 000 000</w:t>
            </w:r>
          </w:p>
        </w:tc>
      </w:tr>
      <w:tr>
        <w:tc>
          <w:tcPr/>
          <w:p>
            <w:r>
              <w:t>Дополнительные услуги</w:t>
            </w:r>
          </w:p>
        </w:tc>
        <w:tc>
          <w:tcPr/>
          <w:p>
            <w:r>
              <w:t>12%</w:t>
            </w:r>
          </w:p>
        </w:tc>
        <w:tc>
          <w:tcPr/>
          <w:p>
            <w:r>
              <w:t>10 000 000</w:t>
            </w:r>
          </w:p>
        </w:tc>
      </w:tr>
      <w:tr>
        <w:tc>
          <w:tcPr/>
          <w:p>
            <w:r>
              <w:t>Корпоративные и групповые туры</w:t>
            </w:r>
          </w:p>
        </w:tc>
        <w:tc>
          <w:tcPr/>
          <w:p>
            <w:r>
              <w:t>9%</w:t>
            </w:r>
          </w:p>
        </w:tc>
        <w:tc>
          <w:tcPr/>
          <w:p>
            <w:r>
              <w:t>7 000 000</w:t>
            </w:r>
          </w:p>
        </w:tc>
      </w:tr>
      <w:tr>
        <w:tc>
          <w:tcPr/>
          <w:p>
            <w:r>
              <w:rPr>
                <w:b/>
              </w:rPr>
              <w:t>ИТОГО ВЫРУЧКА ПРИ ПОЛНОЙ МОЩНОСТИ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>
            <w:r>
              <w:rPr>
                <w:b/>
              </w:rPr>
              <w:t>80 000 000</w:t>
            </w:r>
          </w:p>
        </w:tc>
      </w:tr>
    </w:tbl>
    <w:p>
      <w:r>
        <w:rPr>
          <w:b/>
        </w:rPr>
        <w:t>Затраты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  <w:tc>
          <w:tcPr/>
          <w:p>
            <w:r>
              <w:rPr>
                <w:b/>
              </w:rPr>
              <w:t>Доля постоянных</w:t>
            </w:r>
          </w:p>
        </w:tc>
      </w:tr>
      <w:tr>
        <w:tc>
          <w:tcPr/>
          <w:p>
            <w:r>
              <w:t>Сырьё / материалы</w:t>
            </w:r>
          </w:p>
        </w:tc>
        <w:tc>
          <w:tcPr/>
          <w:p>
            <w:r>
              <w:t>14 700 000</w:t>
            </w:r>
          </w:p>
        </w:tc>
        <w:tc>
          <w:tcPr/>
          <w:p>
            <w:r>
              <w:t>0%</w:t>
            </w:r>
          </w:p>
        </w:tc>
      </w:tr>
      <w:tr>
        <w:tc>
          <w:tcPr/>
          <w:p>
            <w:r>
              <w:t>Коммунальные услуги</w:t>
            </w:r>
          </w:p>
        </w:tc>
        <w:tc>
          <w:tcPr/>
          <w:p>
            <w:r>
              <w:t>7 500 000</w:t>
            </w:r>
          </w:p>
        </w:tc>
        <w:tc>
          <w:tcPr/>
          <w:p>
            <w:r>
              <w:t>30%</w:t>
            </w:r>
          </w:p>
        </w:tc>
      </w:tr>
      <w:tr>
        <w:tc>
          <w:tcPr/>
          <w:p>
            <w:r>
              <w:t>ФОТ и ЕСП производственный</w:t>
            </w:r>
          </w:p>
        </w:tc>
        <w:tc>
          <w:tcPr/>
          <w:p>
            <w:r>
              <w:t>18 480 000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ФОТ и ЕСП административный</w:t>
            </w:r>
          </w:p>
        </w:tc>
        <w:tc>
          <w:tcPr/>
          <w:p>
            <w:r>
              <w:t>7 280 000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Амортизация</w:t>
            </w:r>
          </w:p>
        </w:tc>
        <w:tc>
          <w:tcPr/>
          <w:p>
            <w:r>
              <w:t>5 583 333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Прочие общехозяйственные расходы</w:t>
            </w:r>
          </w:p>
        </w:tc>
        <w:tc>
          <w:tcPr/>
          <w:p>
            <w:r>
              <w:t>5 000 000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rPr>
                <w:b/>
              </w:rPr>
              <w:t>ИТОГО ЗАТРАТЫ ПРИ ПОЛНОЙ МОЩНОСТИ</w:t>
            </w:r>
          </w:p>
        </w:tc>
        <w:tc>
          <w:tcPr/>
          <w:p>
            <w:r>
              <w:rPr>
                <w:b/>
              </w:rPr>
              <w:t>58 543 333</w:t>
            </w:r>
          </w:p>
        </w:tc>
        <w:tc>
          <w:tcPr/>
          <w:p/>
        </w:tc>
      </w:tr>
    </w:tbl>
    <w:p>
      <w:r>
        <w:rPr>
          <w:b/>
        </w:rPr>
        <w:t>Выход на мощность в Году 1</w:t>
      </w:r>
      <w:r>
        <w:t xml:space="preserve"> — проект не стартует сразу со 100% загрузки: в модели заложен постепенный выход на проектную мощность за 6 месяцев (50% → 65% → 78% → 88% → 95% → 100%), что реалистичнее для нового бизнеса и напрямую влияет на потребность в оборотном капитале и денежный поток первых месяцев (см. лист «План продаж» в Excel).</w:t>
      </w:r>
    </w:p>
    <w:p>
      <w:r>
        <w:rPr>
          <w:b/>
        </w:rPr>
        <w:t>Ключевые показатели по месяцам Года 1, сум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Мес. 1</w:t>
            </w:r>
          </w:p>
        </w:tc>
        <w:tc>
          <w:tcPr/>
          <w:p>
            <w:r>
              <w:rPr>
                <w:b/>
              </w:rPr>
              <w:t>Мес. 3</w:t>
            </w:r>
          </w:p>
        </w:tc>
        <w:tc>
          <w:tcPr/>
          <w:p>
            <w:r>
              <w:rPr>
                <w:b/>
              </w:rPr>
              <w:t>Мес. 6</w:t>
            </w:r>
          </w:p>
        </w:tc>
        <w:tc>
          <w:tcPr/>
          <w:p>
            <w:r>
              <w:rPr>
                <w:b/>
              </w:rPr>
              <w:t>Мес. 12</w:t>
            </w:r>
          </w:p>
        </w:tc>
      </w:tr>
      <w:tr>
        <w:tc>
          <w:tcPr/>
          <w:p>
            <w:r>
              <w:t>Выручка</w:t>
            </w:r>
          </w:p>
        </w:tc>
        <w:tc>
          <w:tcPr/>
          <w:p>
            <w:r>
              <w:t>40 000 000</w:t>
            </w:r>
          </w:p>
        </w:tc>
        <w:tc>
          <w:tcPr/>
          <w:p>
            <w:r>
              <w:t>62 400 000</w:t>
            </w:r>
          </w:p>
        </w:tc>
        <w:tc>
          <w:tcPr/>
          <w:p>
            <w:r>
              <w:t>80 000 000</w:t>
            </w:r>
          </w:p>
        </w:tc>
        <w:tc>
          <w:tcPr/>
          <w:p>
            <w:r>
              <w:t>85 935 590</w:t>
            </w:r>
          </w:p>
        </w:tc>
      </w:tr>
      <w:tr>
        <w:tc>
          <w:tcPr/>
          <w:p>
            <w:r>
              <w:t>Чистая прибыль</w:t>
            </w:r>
          </w:p>
        </w:tc>
        <w:tc>
          <w:tcPr/>
          <w:p>
            <w:r>
              <w:t>−24 335 000</w:t>
            </w:r>
          </w:p>
        </w:tc>
        <w:tc>
          <w:tcPr/>
          <w:p>
            <w:r>
              <w:t>−7 521 000</w:t>
            </w:r>
          </w:p>
        </w:tc>
        <w:tc>
          <w:tcPr/>
          <w:p>
            <w:r>
              <w:t>4 836 500</w:t>
            </w:r>
          </w:p>
        </w:tc>
        <w:tc>
          <w:tcPr/>
          <w:p>
            <w:r>
              <w:t>9 864 487</w:t>
            </w:r>
          </w:p>
        </w:tc>
      </w:tr>
      <w:tr>
        <w:tc>
          <w:tcPr/>
          <w:p>
            <w:r>
              <w:t>Остаток денежных средств на конец периода</w:t>
            </w:r>
          </w:p>
        </w:tc>
        <w:tc>
          <w:tcPr/>
          <w:p>
            <w:r>
              <w:t>57 298 333</w:t>
            </w:r>
          </w:p>
        </w:tc>
        <w:tc>
          <w:tcPr/>
          <w:p>
            <w:r>
              <w:t>33 044 500</w:t>
            </w:r>
          </w:p>
        </w:tc>
        <w:tc>
          <w:tcPr/>
          <w:p>
            <w:r>
              <w:t>45 521 375</w:t>
            </w:r>
          </w:p>
        </w:tc>
        <w:tc>
          <w:tcPr/>
          <w:p>
            <w:r>
              <w:t>25 999 228</w:t>
            </w:r>
          </w:p>
        </w:tc>
      </w:tr>
    </w:tbl>
    <w:p>
      <w:r>
        <w:rPr>
          <w:rStyle w:val="CkCaption"/>
          <w:i/>
        </w:rPr>
        <w:t>Денежный поток остаётся положительным весь Год 1 при условии, что собственный капитал инициатора действительно покрывает не только основные средства, но и нарастание дебиторской задолженности и запасов на период выхода на мощность (см. смету выше).</w:t>
      </w:r>
    </w:p>
    <w:p>
      <w:r>
        <w:rPr>
          <w:b/>
        </w:rPr>
        <w:t>Точка безубыточности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Маржинальная рентабельность (вклад на покрытие)</w:t>
            </w:r>
          </w:p>
        </w:tc>
        <w:tc>
          <w:tcPr/>
          <w:p>
            <w:r>
              <w:t>75,1%</w:t>
            </w:r>
          </w:p>
        </w:tc>
      </w:tr>
      <w:tr>
        <w:tc>
          <w:tcPr/>
          <w:p>
            <w:r>
              <w:t>Постоянные затраты, сум/мес</w:t>
            </w:r>
          </w:p>
        </w:tc>
        <w:tc>
          <w:tcPr/>
          <w:p>
            <w:r>
              <w:t>38 593 333</w:t>
            </w:r>
          </w:p>
        </w:tc>
      </w:tr>
      <w:tr>
        <w:tc>
          <w:tcPr/>
          <w:p>
            <w:r>
              <w:t>Точка безубыточности по выручке, сум/мес</w:t>
            </w:r>
          </w:p>
        </w:tc>
        <w:tc>
          <w:tcPr/>
          <w:p>
            <w:r>
              <w:t>51 414 932</w:t>
            </w:r>
          </w:p>
        </w:tc>
      </w:tr>
      <w:tr>
        <w:tc>
          <w:tcPr/>
          <w:p>
            <w:r>
              <w:t>Точка безубыточности, % от проектной мощности</w:t>
            </w:r>
          </w:p>
        </w:tc>
        <w:tc>
          <w:tcPr/>
          <w:p>
            <w:r>
              <w:t>64,3%</w:t>
            </w:r>
          </w:p>
        </w:tc>
      </w:tr>
    </w:tbl>
    <w:p>
      <w:r>
        <w:rPr>
          <w:b/>
        </w:rPr>
        <w:t>Срок окупаемости и эффективность</w:t>
      </w:r>
    </w:p>
    <w:p>
      <w:r>
        <w:t>Срок окупаемости полной стоимости проекта (940 000 000 сум) по чистой прибыли на уровне проектной мощности (≈9 864 487 сум/мес к 12-му месяцу) — около 95 месяцев.</w:t>
      </w:r>
    </w:p>
    <w:p>
      <w:r>
        <w:rPr>
          <w:rStyle w:val="CkCaption"/>
          <w:i/>
        </w:rPr>
        <w:t>NPV и IRR в приложенном Excel-файле рассчитаны только за Год 1 проекта (12 месяцев) — в течение этого периода компания обычно ещё не успевает полностью окупить стартовые вложения. IRR за 12 месяцев математически не определяется, когда денежный поток года ещё не покрывает инвестиции (лист «NPV и IRR» показывает «н/д» в этом случае) — это ожидаемо для капиталоёмких проектов и не является ошибкой расчёта. Для реальной заявки в банк расширьте период анализа на нужное количество лет.</w:t>
      </w:r>
    </w:p>
    <w:p>
      <w:r>
        <w:t>[Впишите] Пересчитайте все показатели этого раздела на основе цен, ставок аренды/зарплат и объёмов продаж вашего проекта в вашем регионе — они автоматически обновятся и в приложенном Excel-файле.</w:t>
      </w:r>
    </w:p>
    <w:p>
      <w:pPr>
        <w:pStyle w:val="Heading2"/>
        <ck:id v="risks"/>
      </w:pPr>
      <w:bookmarkStart w:id="13" w:name="risks"/>
      <w:r>
        <w:t>Оценка рисков</w:t>
      </w:r>
      <w:bookmarkEnd w:id="13"/>
    </w:p>
    <w:p>
      <w:r>
        <w:rPr>
          <w:rStyle w:val="CkCaption"/>
          <w:i/>
        </w:rPr>
        <w:t>Веса ниже отражают ОТНОСИТЕЛЬНУЮ значимость рисков друг относительно друга (в сумме — 100%), а не вероятность в процентах; оценка — экспертная, по шкале от 1 (низкий риск) до 5 (высокий риск).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Риск</w:t>
            </w:r>
          </w:p>
        </w:tc>
        <w:tc>
          <w:tcPr/>
          <w:p>
            <w:r>
              <w:rPr>
                <w:b/>
              </w:rPr>
              <w:t>Вес, %</w:t>
            </w:r>
          </w:p>
        </w:tc>
        <w:tc>
          <w:tcPr/>
          <w:p>
            <w:r>
              <w:rPr>
                <w:b/>
              </w:rPr>
              <w:t>Оценка (1-5)</w:t>
            </w:r>
          </w:p>
        </w:tc>
        <w:tc>
          <w:tcPr/>
          <w:p>
            <w:r>
              <w:rPr>
                <w:b/>
              </w:rPr>
              <w:t>Взвешенный балл</w:t>
            </w:r>
          </w:p>
        </w:tc>
        <w:tc>
          <w:tcPr/>
          <w:p>
            <w:r>
              <w:rPr>
                <w:b/>
              </w:rPr>
              <w:t>Меры снижения</w:t>
            </w:r>
          </w:p>
        </w:tc>
      </w:tr>
      <w:tr>
        <w:tc>
          <w:tcPr/>
          <w:p>
            <w:r>
              <w:t>Сезонность спроса (спад в жаркие летние и зимние месяцы)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4</w:t>
            </w:r>
          </w:p>
        </w:tc>
        <w:tc>
          <w:tcPr/>
          <w:p>
            <w:r>
              <w:t>0,80</w:t>
            </w:r>
          </w:p>
        </w:tc>
        <w:tc>
          <w:tcPr/>
          <w:p>
            <w:r>
              <w:t>Гибкое ценообразование, доп. услуги и пакеты в межсезонье, работа с внутренним туризмом</w:t>
            </w:r>
          </w:p>
        </w:tc>
      </w:tr>
      <w:tr>
        <w:tc>
          <w:tcPr/>
          <w:p>
            <w:r>
              <w:t>Высокие комиссии онлайн-платформ бронирования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0,45</w:t>
            </w:r>
          </w:p>
        </w:tc>
        <w:tc>
          <w:tcPr/>
          <w:p>
            <w:r>
              <w:t>Развитие прямых каналов продаж, программа повторных бронирований</w:t>
            </w:r>
          </w:p>
        </w:tc>
      </w:tr>
      <w:tr>
        <w:tc>
          <w:tcPr/>
          <w:p>
            <w:r>
              <w:t>Быстрый рост числа новых объектов размещения и обострение конкуренции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4</w:t>
            </w:r>
          </w:p>
        </w:tc>
        <w:tc>
          <w:tcPr/>
          <w:p>
            <w:r>
              <w:t>0,80</w:t>
            </w:r>
          </w:p>
        </w:tc>
        <w:tc>
          <w:tcPr/>
          <w:p>
            <w:r>
              <w:t>Чёткое позиционирование и УТП (ниша, дизайн, сервис), а не конкуренция только по цене</w:t>
            </w:r>
          </w:p>
        </w:tc>
      </w:tr>
      <w:tr>
        <w:tc>
          <w:tcPr/>
          <w:p>
            <w:r>
              <w:t>Изменение визовых/пограничных правил для ключевых рынков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Мониторинг регуляторики въездного туризма, диверсификация географии туристов</w:t>
            </w:r>
          </w:p>
        </w:tc>
      </w:tr>
      <w:tr>
        <w:tc>
          <w:tcPr/>
          <w:p>
            <w:r>
              <w:t>Дефицит квалифицированного гостиничного персонала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Обучение персонала, конкурентные условия труда, частичная автоматизация ресепшена</w:t>
            </w:r>
          </w:p>
        </w:tc>
      </w:tr>
      <w:tr>
        <w:tc>
          <w:tcPr/>
          <w:p>
            <w:r>
              <w:t>Ущерб историческим объектам от резкого роста турпотока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Учёт норм охраны наследия при ремонте, участие в программах устойчивого туризма</w:t>
            </w:r>
          </w:p>
        </w:tc>
      </w:tr>
      <w:tr>
        <w:tc>
          <w:tcPr/>
          <w:p>
            <w:r>
              <w:rPr>
                <w:b/>
              </w:rPr>
              <w:t>ИТОГО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2,95 из 5</w:t>
            </w:r>
          </w:p>
        </w:tc>
        <w:tc>
          <w:tcPr/>
          <w:p/>
        </w:tc>
      </w:tr>
    </w:tbl>
    <w:p>
      <w:r>
        <w:t>Итоговая взвешенная оценка (2,95 из 5) отражает экспертную оценку совокупного уровня риска проекта.</w:t>
      </w:r>
    </w:p>
    <w:p>
      <w:r>
        <w:t>[Впишите] Дополните таблицу своими рисками, специфичными для вашего проекта и региона, и пересчитайте веса.</w:t>
      </w:r>
    </w:p>
    <w:p>
      <w:pPr>
        <w:pStyle w:val="Heading2"/>
        <ck:id v="conclusion"/>
      </w:pPr>
      <w:bookmarkStart w:id="14" w:name="conclusion"/>
      <w:r>
        <w:t>Заключение</w:t>
      </w:r>
      <w:bookmarkEnd w:id="14"/>
    </w:p>
    <w:p>
      <w:r>
        <w:t>[Впишите] Краткий вывод: почему проект целесообразен, какую пользу он приносит региону/отрасли, и какое решение вы просите у банка/инвестора.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Проект создаёт 6 рабочих мест в сфере туризма Бухары, реставрирует историческое здание и диверсифицирует выручку между проживанием, доп. услугами и корпоративными турами, снижая зависимость от одного канала продаж.</w:t>
                </w:r>
              </w:p>
            </w:tc>
          </w:tr>
        </w:tbl>
      </w:sdtContent>
    </w:sdt>
    <w:sectPr>
      <ck:section v="1:||margins=1.1in,size=letter"/>
      <w:footerReference w:type="default" r:id="rIdHf1"/>
      <w:pgSz w:w="12240" w:h="15840"/>
      <w:pgMar w:top="1584" w:right="1584" w:bottom="1584" w:left="1584" w:header="720" w:footer="720" w:gutter="0"/>
    </w:sectPr>
  </w:body>
</w:document>
</file>

<file path=word/fontTable.xml><?xml version="1.0" encoding="utf-8"?>
<w:fonts xmlns:w="http://schemas.openxmlformats.org/wordprocessingml/2006/main">
  <w:font w:name="Cambria">
    <w:family w:val="roman"/>
  </w:font>
  <w:font w:name="Consolas">
    <w:family w:val="modern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sdt>
    <w:sdtPr>
      <w:tag w:val="clarkdown:div"/>
      <ck:div v="||text-align=center"/>
    </w:sdtPr>
    <w:sdtContent>
      <w:p>
        <w:pPr>
          <w:jc w:val="center"/>
        </w:pPr>
        <w:r>
          <w:t xml:space="preserve">MoliyaHub · </w:t>
        </w:r>
        <w:fldSimple w:instr="PAGE">
          <w:r>
            <w:t>1</w:t>
          </w:r>
        </w:fldSimple>
      </w:p>
    </w:sdtContent>
  </w:sdt>
</w:ftr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decimal"/>
      <w:lvlText w:val="%2."/>
      <w:lvlJc w:val="left"/>
      <w:pPr>
        <w:ind w:left="3600" w:hanging="360"/>
      </w:pPr>
    </w:lvl>
    <w:lvl w:ilvl="5">
      <w:start w:val="1"/>
      <w:numFmt w:val="decimal"/>
      <w:lvlText w:val="%3."/>
      <w:lvlJc w:val="left"/>
      <w:pPr>
        <w:ind w:left="4320" w:hanging="360"/>
      </w:pPr>
    </w:lvl>
    <w:lvl w:ilvl="6">
      <w:start w:val="1"/>
      <w:numFmt w:val="decimal"/>
      <w:lvlText w:val="%1."/>
      <w:lvlJc w:val="left"/>
      <w:pPr>
        <w:ind w:left="5040" w:hanging="360"/>
      </w:pPr>
    </w:lvl>
    <w:lvl w:ilvl="7">
      <w:start w:val="1"/>
      <w:numFmt w:val="decimal"/>
      <w:lvlText w:val="%2."/>
      <w:lvlJc w:val="left"/>
      <w:pPr>
        <w:ind w:left="5760" w:hanging="360"/>
      </w:pPr>
    </w:lvl>
    <w:lvl w:ilvl="8">
      <w:start w:val="1"/>
      <w:numFmt w:val="decimal"/>
      <w:lvlText w:val="%3."/>
      <w:lvlJc w:val="left"/>
      <w:pPr>
        <w:ind w:left="6480" w:hanging="360"/>
      </w:pPr>
    </w:lvl>
  </w:abstractNum>
  <w:abstractNum w:abstractNumId="3">
    <w:multiLevelType w:val="hybridMultilevel"/>
    <w:lvl w:ilvl="0">
      <w:start w:val="1"/>
      <w:numFmt w:val="bullet"/>
      <w:lvlText w:val="☐"/>
      <w:lvlJc w:val="left"/>
      <w:pPr>
        <w:ind w:left="720" w:hanging="360"/>
      </w:pPr>
    </w:lvl>
    <w:lvl w:ilvl="1">
      <w:start w:val="1"/>
      <w:numFmt w:val="bullet"/>
      <w:lvlText w:val="☐"/>
      <w:lvlJc w:val="left"/>
      <w:pPr>
        <w:ind w:left="1440" w:hanging="360"/>
      </w:pPr>
    </w:lvl>
    <w:lvl w:ilvl="2">
      <w:start w:val="1"/>
      <w:numFmt w:val="bullet"/>
      <w:lvlText w:val="☐"/>
      <w:lvlJc w:val="left"/>
      <w:pPr>
        <w:ind w:left="2160" w:hanging="360"/>
      </w:pPr>
    </w:lvl>
    <w:lvl w:ilvl="3">
      <w:start w:val="1"/>
      <w:numFmt w:val="bullet"/>
      <w:lvlText w:val="☐"/>
      <w:lvlJc w:val="left"/>
      <w:pPr>
        <w:ind w:left="2880" w:hanging="360"/>
      </w:pPr>
    </w:lvl>
    <w:lvl w:ilvl="4">
      <w:start w:val="1"/>
      <w:numFmt w:val="bullet"/>
      <w:lvlText w:val="☐"/>
      <w:lvlJc w:val="left"/>
      <w:pPr>
        <w:ind w:left="3600" w:hanging="360"/>
      </w:pPr>
    </w:lvl>
    <w:lvl w:ilvl="5">
      <w:start w:val="1"/>
      <w:numFmt w:val="bullet"/>
      <w:lvlText w:val="☐"/>
      <w:lvlJc w:val="left"/>
      <w:pPr>
        <w:ind w:left="4320" w:hanging="360"/>
      </w:pPr>
    </w:lvl>
    <w:lvl w:ilvl="6">
      <w:start w:val="1"/>
      <w:numFmt w:val="bullet"/>
      <w:lvlText w:val="☐"/>
      <w:lvlJc w:val="left"/>
      <w:pPr>
        <w:ind w:left="5040" w:hanging="360"/>
      </w:pPr>
    </w:lvl>
    <w:lvl w:ilvl="7">
      <w:start w:val="1"/>
      <w:numFmt w:val="bullet"/>
      <w:lvlText w:val="☐"/>
      <w:lvlJc w:val="left"/>
      <w:pPr>
        <w:ind w:left="5760" w:hanging="360"/>
      </w:pPr>
    </w:lvl>
    <w:lvl w:ilvl="8">
      <w:start w:val="1"/>
      <w:numFmt w:val="bullet"/>
      <w:lvlText w:val="☐"/>
      <w:lvlJc w:val="left"/>
      <w:pPr>
        <w:ind w:left="6480" w:hanging="360"/>
      </w:pPr>
    </w:lvl>
  </w:abstractNum>
  <w:abstractNum w:abstractNumId="4">
    <w:multiLevelType w:val="hybridMultilevel"/>
    <w:lvl w:ilvl="0">
      <w:start w:val="1"/>
      <w:numFmt w:val="bullet"/>
      <w:lvlText w:val="☑"/>
      <w:lvlJc w:val="left"/>
      <w:pPr>
        <w:ind w:left="720" w:hanging="360"/>
      </w:pPr>
    </w:lvl>
    <w:lvl w:ilvl="1">
      <w:start w:val="1"/>
      <w:numFmt w:val="bullet"/>
      <w:lvlText w:val="☑"/>
      <w:lvlJc w:val="left"/>
      <w:pPr>
        <w:ind w:left="1440" w:hanging="360"/>
      </w:pPr>
    </w:lvl>
    <w:lvl w:ilvl="2">
      <w:start w:val="1"/>
      <w:numFmt w:val="bullet"/>
      <w:lvlText w:val="☑"/>
      <w:lvlJc w:val="left"/>
      <w:pPr>
        <w:ind w:left="2160" w:hanging="360"/>
      </w:pPr>
    </w:lvl>
    <w:lvl w:ilvl="3">
      <w:start w:val="1"/>
      <w:numFmt w:val="bullet"/>
      <w:lvlText w:val="☑"/>
      <w:lvlJc w:val="left"/>
      <w:pPr>
        <w:ind w:left="2880" w:hanging="360"/>
      </w:pPr>
    </w:lvl>
    <w:lvl w:ilvl="4">
      <w:start w:val="1"/>
      <w:numFmt w:val="bullet"/>
      <w:lvlText w:val="☑"/>
      <w:lvlJc w:val="left"/>
      <w:pPr>
        <w:ind w:left="3600" w:hanging="360"/>
      </w:pPr>
    </w:lvl>
    <w:lvl w:ilvl="5">
      <w:start w:val="1"/>
      <w:numFmt w:val="bullet"/>
      <w:lvlText w:val="☑"/>
      <w:lvlJc w:val="left"/>
      <w:pPr>
        <w:ind w:left="4320" w:hanging="360"/>
      </w:pPr>
    </w:lvl>
    <w:lvl w:ilvl="6">
      <w:start w:val="1"/>
      <w:numFmt w:val="bullet"/>
      <w:lvlText w:val="☑"/>
      <w:lvlJc w:val="left"/>
      <w:pPr>
        <w:ind w:left="5040" w:hanging="360"/>
      </w:pPr>
    </w:lvl>
    <w:lvl w:ilvl="7">
      <w:start w:val="1"/>
      <w:numFmt w:val="bullet"/>
      <w:lvlText w:val="☑"/>
      <w:lvlJc w:val="left"/>
      <w:pPr>
        <w:ind w:left="5760" w:hanging="360"/>
      </w:pPr>
    </w:lvl>
    <w:lvl w:ilvl="8">
      <w:start w:val="1"/>
      <w:numFmt w:val="bullet"/>
      <w:lvlText w:val="☑"/>
      <w:lvlJc w:val="left"/>
      <w:pPr>
        <w:ind w:left="648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cs="Cambria"/>
        <w:sz w:val="22"/>
        <w:szCs w:val="22"/>
        <w:lang w:val="en-US"/>
      </w:rPr>
    </w:rPrDefault>
    <w:pPrDefault>
      <w:pPr>
        <w:spacing w:after="160" w:line="312" w:lineRule="auto"/>
      </w:pPr>
    </w:pPrDefault>
  </w:docDefaults>
  <w:style w:type="paragraph" w:styleId="Normal" w:default="1">
    <w:name w:val="Normal"/>
  </w:style>
  <w:style w:type="paragraph" w:styleId="Heading1" w:default="0">
    <w:name w:val="heading 1"/>
    <w:basedOn w:val="Normal"/>
    <w:next w:val="Normal"/>
    <w:pPr>
      <w:keepNext/>
      <w:keepLines/>
      <w:spacing w:before="320" w:line="264" w:lineRule="auto"/>
      <w:outlineLvl w:val="0"/>
    </w:pPr>
    <w:rPr>
      <w:rFonts w:ascii="Cambria" w:hAnsi="Cambria"/>
      <w:b/>
      <w:color w:val="1A1A1A"/>
      <w:sz w:val="38"/>
      <w:szCs w:val="38"/>
    </w:rPr>
  </w:style>
  <w:style w:type="paragraph" w:styleId="Heading2" w:default="0">
    <w:name w:val="heading 2"/>
    <w:basedOn w:val="Normal"/>
    <w:next w:val="Normal"/>
    <w:pPr>
      <w:keepNext/>
      <w:keepLines/>
      <w:spacing w:before="320" w:line="264" w:lineRule="auto"/>
      <w:outlineLvl w:val="1"/>
    </w:pPr>
    <w:rPr>
      <w:rFonts w:ascii="Cambria" w:hAnsi="Cambria"/>
      <w:b/>
      <w:sz w:val="32"/>
      <w:szCs w:val="32"/>
    </w:rPr>
  </w:style>
  <w:style w:type="paragraph" w:styleId="Heading3" w:default="0">
    <w:name w:val="heading 3"/>
    <w:basedOn w:val="Normal"/>
    <w:next w:val="Normal"/>
    <w:pPr>
      <w:keepNext/>
      <w:keepLines/>
      <w:spacing w:before="160" w:line="264" w:lineRule="auto"/>
      <w:outlineLvl w:val="2"/>
    </w:pPr>
    <w:rPr>
      <w:rFonts w:ascii="Cambria" w:hAnsi="Cambria"/>
      <w:b/>
      <w:sz w:val="26"/>
      <w:szCs w:val="26"/>
    </w:rPr>
  </w:style>
  <w:style w:type="paragraph" w:styleId="Heading4" w:default="0">
    <w:name w:val="heading 4"/>
    <w:basedOn w:val="Normal"/>
    <w:next w:val="Normal"/>
    <w:pPr>
      <w:keepNext/>
      <w:keepLines/>
      <w:spacing w:before="160" w:line="264" w:lineRule="auto"/>
      <w:outlineLvl w:val="3"/>
    </w:pPr>
    <w:rPr>
      <w:rFonts w:ascii="Cambria" w:hAnsi="Cambria"/>
      <w:b/>
      <w:sz w:val="22"/>
      <w:szCs w:val="22"/>
    </w:rPr>
  </w:style>
  <w:style w:type="paragraph" w:styleId="Heading5" w:default="0">
    <w:name w:val="heading 5"/>
    <w:basedOn w:val="Normal"/>
    <w:next w:val="Normal"/>
    <w:pPr>
      <w:keepNext/>
      <w:keepLines/>
      <w:spacing w:before="160" w:line="264" w:lineRule="auto"/>
      <w:outlineLvl w:val="4"/>
    </w:pPr>
    <w:rPr>
      <w:rFonts w:ascii="Cambria" w:hAnsi="Cambria"/>
      <w:b/>
      <w:sz w:val="22"/>
      <w:szCs w:val="22"/>
    </w:rPr>
  </w:style>
  <w:style w:type="paragraph" w:styleId="Heading6" w:default="0">
    <w:name w:val="heading 6"/>
    <w:basedOn w:val="Normal"/>
    <w:next w:val="Normal"/>
    <w:pPr>
      <w:keepNext/>
      <w:keepLines/>
      <w:spacing w:before="160" w:line="264" w:lineRule="auto"/>
      <w:outlineLvl w:val="5"/>
    </w:pPr>
    <w:rPr>
      <w:rFonts w:ascii="Cambria" w:hAnsi="Cambria"/>
      <w:b/>
      <w:sz w:val="22"/>
      <w:szCs w:val="22"/>
    </w:rPr>
  </w:style>
  <w:style w:type="paragraph" w:styleId="Quote" w:default="0">
    <w:name w:val="Quote"/>
    <w:basedOn w:val="Normal"/>
    <w:pPr>
      <w:ind w:left="320"/>
      <w:pBdr>
        <w:left w:val="single" w:sz="24" w:space="12" w:color="BFBFBF"/>
      </w:pBdr>
    </w:pPr>
    <w:rPr>
      <w:i/>
      <w:color w:val="595959"/>
    </w:rPr>
  </w:style>
  <w:style w:type="character" w:styleId="CkHighlight">
    <w:name w:val="Clarkdown Highlight"/>
    <w:rPr>
      <w:shd w:val="clear" w:fill="FFF2A8"/>
    </w:rPr>
  </w:style>
  <w:style w:type="character" w:styleId="CkSmallcaps">
    <w:name w:val="Clarkdown Smallcaps"/>
    <w:rPr>
      <w:smallCaps/>
    </w:rPr>
  </w:style>
  <w:style w:type="character" w:styleId="CkUnderline">
    <w:name w:val="Clarkdown Underline"/>
    <w:rPr>
      <w:u w:val="single"/>
    </w:rPr>
  </w:style>
  <w:style w:type="character" w:styleId="CkMuted">
    <w:name w:val="Clarkdown Muted"/>
    <w:rPr>
      <w:color w:val="595959"/>
    </w:rPr>
  </w:style>
  <w:style w:type="character" w:styleId="CkAccent">
    <w:name w:val="Clarkdown Accent"/>
    <w:rPr>
      <w:color w:val="1A1A1A"/>
    </w:rPr>
  </w:style>
  <w:style w:type="character" w:styleId="CkCaption">
    <w:name w:val="Clarkdown Caption"/>
    <w:rPr>
      <w:i/>
      <w:color w:val="595959"/>
      <w:sz w:val="20"/>
      <w:szCs w:val="20"/>
    </w:rPr>
  </w:style>
  <w:style w:type="paragraph" w:styleId="CkDisplay" w:default="0">
    <w:name w:val="Clarkdown Display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color w:val="1A1A1A"/>
      <w:sz w:val="132"/>
      <w:szCs w:val="132"/>
    </w:rPr>
  </w:style>
  <w:style w:type="character" w:styleId="CkKicker">
    <w:name w:val="Clarkdown Kicker"/>
    <w:rPr>
      <w:smallCaps/>
      <w:spacing w:val="18"/>
      <w:color w:val="595959"/>
    </w:rPr>
  </w:style>
  <w:style w:type="paragraph" w:styleId="CkTrackedCaps" w:default="0">
    <w:name w:val="Clarkdown Tracked Caps"/>
    <w:basedOn w:val="Normal"/>
    <w:next w:val="Normal"/>
    <w:rPr>
      <w:smallCaps/>
      <w:spacing w:val="18"/>
    </w:rPr>
  </w:style>
  <w:style w:type="paragraph" w:styleId="Title" w:default="0">
    <w:name w:val="Title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sz w:val="46"/>
      <w:szCs w:val="46"/>
    </w:rPr>
  </w:style>
  <w:style w:type="character" w:styleId="Hyperlink">
    <w:name w:val="Hyperlink"/>
    <w:rPr>
      <w:color w:val="1A1A1A"/>
      <w:u w:val="single"/>
    </w:rPr>
  </w:style>
  <w:style w:type="paragraph" w:styleId="CkCodeBlock" w:default="0">
    <w:name w:val="Clarkdown Code Block"/>
    <w:basedOn w:val="Normal"/>
    <w:pPr>
      <w:shd w:val="clear" w:fill="EDEDED"/>
      <w:spacing w:after="0" w:line="240" w:lineRule="auto"/>
    </w:pPr>
    <w:rPr>
      <w:rFonts w:ascii="Consolas" w:hAnsi="Consolas"/>
      <w:noProof/>
      <w:sz w:val="20"/>
    </w:rPr>
  </w:style>
  <w:style w:type="character" w:styleId="CkCode">
    <w:name w:val="Clarkdown Code"/>
    <w:rPr>
      <w:rFonts w:ascii="Consolas" w:hAnsi="Consolas"/>
      <w:shd w:val="clear" w:fill="EDEDED"/>
      <w:sz w:val="20"/>
    </w:rPr>
  </w:style>
  <w:style w:type="paragraph" w:styleId="Caption" w:default="0">
    <w:name w:val="caption"/>
    <w:basedOn w:val="Normal"/>
    <w:rPr>
      <w:i/>
      <w:sz w:val="18"/>
    </w:rPr>
  </w:style>
  <w:style w:type="paragraph" w:styleId="ListParagraph" w:default="0">
    <w:name w:val="List Paragraph"/>
    <w:basedOn w:val="Normal"/>
    <w:pPr>
      <w:ind w:left="320"/>
    </w:pPr>
  </w:style>
  <w:style w:type="paragraph" w:styleId="CkUnknown" w:default="0">
    <w:name w:val="Clarkdown Unknown"/>
    <w:basedOn w:val="Normal"/>
    <w:pPr>
      <w:shd w:val="clear" w:fill="FFEEEE"/>
    </w:pPr>
  </w:style>
  <w:style w:type="paragraph" w:styleId="FootnoteText" w:default="0">
    <w:name w:val="footnote text"/>
    <w:basedOn w:val="Normal"/>
    <w:rPr>
      <w:sz w:val="18"/>
    </w:rPr>
  </w:style>
  <w:style w:type="character" w:styleId="FootnoteReference">
    <w:name w:val="footnote reference"/>
    <w:rPr>
      <w:vertAlign w:val="superscript"/>
    </w:rPr>
  </w:style>
  <w:style w:type="table" w:styleId="CkTable">
    <w:name w:val="Clarkdown Table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styleId="CkLayout">
    <w:name w:val="Clarkdown Layout"/>
    <w:tblPr>
      <w:tblBorders>
        <w:top w:val="none"/>
        <w:left w:val="none"/>
        <w:bottom w:val="none"/>
        <w:right w:val="none"/>
        <w:insideH w:val="none"/>
        <w:insideV w:val="none"/>
      </w:tblBorders>
    </w:tblPr>
  </w:style>
  <w:style w:type="paragraph" w:styleId="CkNote" w:default="0">
    <w:name w:val="Clarkdown Note"/>
    <w:basedOn w:val="Normal"/>
    <w:pPr>
      <w:pBdr>
        <w:left w:val="single" w:sz="24" w:space="8" w:color="2F6FEB"/>
      </w:pBdr>
      <w:ind w:left="240"/>
    </w:pPr>
  </w:style>
  <w:style w:type="paragraph" w:styleId="CkTip" w:default="0">
    <w:name w:val="Clarkdown Tip"/>
    <w:basedOn w:val="Normal"/>
    <w:pPr>
      <w:pBdr>
        <w:left w:val="single" w:sz="24" w:space="8" w:color="1A7F37"/>
      </w:pBdr>
      <w:ind w:left="240"/>
    </w:pPr>
  </w:style>
  <w:style w:type="paragraph" w:styleId="CkWarning" w:default="0">
    <w:name w:val="Clarkdown Warning"/>
    <w:basedOn w:val="Normal"/>
    <w:pPr>
      <w:pBdr>
        <w:left w:val="single" w:sz="24" w:space="8" w:color="9A6700"/>
      </w:pBdr>
      <w:ind w:left="240"/>
    </w:pPr>
  </w:style>
  <w:style w:type="paragraph" w:styleId="CkImportant" w:default="0">
    <w:name w:val="Clarkdown Important"/>
    <w:basedOn w:val="Normal"/>
    <w:pPr>
      <w:pBdr>
        <w:left w:val="single" w:sz="24" w:space="8" w:color="8250DF"/>
      </w:pBdr>
      <w:ind w:left="240"/>
    </w:pPr>
  </w:style>
  <w:style w:type="paragraph" w:styleId="CkCaution" w:default="0">
    <w:name w:val="Clarkdown Caution"/>
    <w:basedOn w:val="Normal"/>
    <w:pPr>
      <w:pBdr>
        <w:left w:val="single" w:sz="24" w:space="8" w:color="CF222E"/>
      </w:pBdr>
      <w:ind w:left="24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nts" Type="http://schemas.openxmlformats.org/officeDocument/2006/relationships/fontTable" Target="fontTable.xml"/><Relationship Id="rIdSettings" Type="http://schemas.openxmlformats.org/officeDocument/2006/relationships/settings" Target="settings.xml"/><Relationship Id="rIdH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rkdownFrontMatter">
    <vt:lpwstr>{"kv":{"theme":"serif"},"v":1}</vt:lpwstr>
  </property>
</Properties>
</file>