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Relationship Id="rIdCustom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="http://schemas.openxmlformats.org/officeDocument/2006/math" xmlns:mc="http://schemas.openxmlformats.org/markup-compatibility/2006" xmlns:ck="urn:clarkdown:docx" mc:Ignorable="ck">
  <w:body>
    <w:p>
      <w:pPr>
        <w:pStyle w:val="Title"/>
        <ck:id v="section"/>
      </w:pPr>
      <w:bookmarkStart w:id="0" w:name="section"/>
      <w:r>
        <w:t>ТЕХНИКО-ЭКОНОМИЧЕСКОЕ ОБОСНОВАНИЕ ПРОЕКТА</w:t>
      </w:r>
      <w:bookmarkEnd w:id="0"/>
    </w:p>
    <w:p>
      <w:r>
        <w:rPr>
          <w:rStyle w:val="CkMuted"/>
        </w:rPr>
        <w:t>Расширенный образец (ТЭО) для отрасли «Логистика и складские услуги» — по структуре, близкой к банковской</w:t>
      </w:r>
    </w:p>
    <w:p>
      <w:r>
        <w:t>Наименование проекта: [впишите]</w:t>
      </w:r>
      <w:r>
        <w:br/>
      </w:r>
      <w:r>
        <w:t>Инициатор / заёмщик: [впишите]</w:t>
      </w:r>
      <w:r>
        <w:br/>
      </w:r>
      <w:r>
        <w:t>Регион реализации: [впишите]</w:t>
      </w:r>
      <w:r>
        <w:br/>
      </w:r>
      <w:r>
        <w:t>Полная стоимость проекта, сум: [впишите]</w:t>
      </w:r>
      <w:r>
        <w:br/>
      </w:r>
      <w:r>
        <w:t>Дата составления: [впишите]</w:t>
      </w:r>
    </w:p>
    <w:p>
      <w:r>
        <w:rPr>
          <w:rStyle w:val="CkCaption"/>
          <w:i/>
        </w:rPr>
        <w:t>Это расширенный образец (шаблон) MoliyaHub, построенный по структуре типового технико-экономического обоснования (ТЭО), которое банки Узбекистана обычно запрашивают при рассмотрении кредитной заявки на инвестиционный проект — с меморандумом о конфиденциальности, разделом о заёмщике, структурой финансирования, таблицей персонала и взвешенной оценкой рисков. Это НЕ более простой типовой бизнес-план (тот доступен на MoliyaHub отдельным файлом для той же отрасли) — это более полный и подробный формат для тех, кто готовит заявку сразу под требования банка. Все суммы и показатели ниже — иллюстративный пример для вымышленной компании, основанный на рыночных ориентирах 2025-2026 года и экспертных оценках порядка величины, а НЕ факт о реальной компании и не финансовая отчётность. Реквизиты заёмщика (ИНН, адрес, учредители, паспортные данные) должны быть заполнены вашими настоящими данными — образец сознательно не содержит вымышленных номеров документов, чтобы их нельзя было принять за реальные. Полная финансовая модель с рабочими формулами (16 связанных листов: смета, финансирование, амортизация, себестоимость по месяцам, график кредита, P&amp;L, рабочий капитал, поток наличности, NPV/IRR, точка безубыточности, прогнозный баланс) — в отдельном Excel-файле с тем же названием, который дополняет этот документ.</w:t>
      </w:r>
    </w:p>
    <w:p>
      <w:pPr>
        <w:pStyle w:val="Heading2"/>
        <ck:id v="confidentiality"/>
      </w:pPr>
      <w:bookmarkStart w:id="1" w:name="confidentiality"/>
      <w:r>
        <w:t>Меморандум о конфиденциальности</w:t>
      </w:r>
      <w:bookmarkEnd w:id="1"/>
    </w:p>
    <w:p>
      <w:r>
        <w:t>Настоящий документ и приложенная к нему финансовая модель содержат информацию о планируемой хозяйственной деятельности заёмщика и предназначены исключительно для рассмотрения кредитующим банком (инвестором) в целях принятия решения об участии в проекте. Документ не подлежит копированию или передаче третьим лицам без письменного согласия заёмщика, за исключением случаев, предусмотренных законодательством Республики Узбекистан. Все финансовые показатели являются прогнозными и не гарантируют фактического результата.</w:t>
      </w:r>
    </w:p>
    <w:p>
      <w:r>
        <w:t>[Впишите] При подготовке реальной заявки замените этот раздел меморандумом о конфиденциальности вашей компании либо согласуйте формулировку с юристом и требованиями конкретного банка.</w:t>
      </w:r>
    </w:p>
    <w:p>
      <w:pPr>
        <w:pStyle w:val="Heading2"/>
        <ck:id v="resume"/>
      </w:pPr>
      <w:bookmarkStart w:id="2" w:name="resume"/>
      <w:r>
        <w:t>Резюме проекта</w:t>
      </w:r>
      <w:bookmarkEnd w:id="2"/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ООО «Yo'lbars Logistik Xizmatlar» реализует проект «Строительство логистического комплекса в Ташкентской области»: Логистический оператор: склад ответственного хранения, фулфилмент для продавцов маркетплейсов и перевозки по договорам, в промзоне Ташкентской области. Полная стоимость проекта — 1 566 205 000 сум, из которых 1 260 000 000 сум — банковский кредит на 48 месяцев под 22% годовых с льготным периодом 6 месяца(ев), остальное — собственный капитал инициатора. При выходе на проектную мощность выручка составляет 235 000 000 сум/мес; см. раздел «Финансовый план» ниже по срокам окупаемости.</w:t>
                </w:r>
              </w:p>
            </w:tc>
          </w:tr>
        </w:tbl>
      </w:sdtContent>
    </w:sdt>
    <w:p>
      <w:r>
        <w:t>[Впишите] В 5-8 предложениях: суть проекта, какую проблему решает, для кого, требуемая сумма инвестиций и на что она пойдёт, ожидаемый результат (выручка/прибыль/срок окупаемости).</w:t>
      </w:r>
    </w:p>
    <w:p>
      <w:pPr>
        <w:pStyle w:val="Heading2"/>
        <ck:id v="borrower"/>
      </w:pPr>
      <w:bookmarkStart w:id="3" w:name="borrower"/>
      <w:r>
        <w:t>Информация о заёмщике</w:t>
      </w:r>
      <w:bookmarkEnd w:id="3"/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Реквизит</w:t>
            </w:r>
          </w:p>
        </w:tc>
        <w:tc>
          <w:tcPr/>
          <w:p>
            <w:r>
              <w:rPr>
                <w:b/>
              </w:rPr>
              <w:t>Значение</w:t>
            </w:r>
          </w:p>
        </w:tc>
      </w:tr>
      <w:tr>
        <w:tc>
          <w:tcPr/>
          <w:p>
            <w:r>
              <w:t>Полное наименование</w:t>
            </w:r>
          </w:p>
        </w:tc>
        <w:tc>
          <w:tcPr/>
          <w:p>
            <w:r>
              <w:t>ООО «Yo'lbars Logistik Xizmatlar» (пример)</w:t>
            </w:r>
          </w:p>
        </w:tc>
      </w:tr>
      <w:tr>
        <w:tc>
          <w:tcPr/>
          <w:p>
            <w:r>
              <w:t>Организационно-правовая форма</w:t>
            </w:r>
          </w:p>
        </w:tc>
        <w:tc>
          <w:tcPr/>
          <w:p>
            <w:r>
              <w:t>ООО</w:t>
            </w:r>
          </w:p>
        </w:tc>
      </w:tr>
      <w:tr>
        <w:tc>
          <w:tcPr/>
          <w:p>
            <w:r>
              <w:t>Регион / адрес</w:t>
            </w:r>
          </w:p>
        </w:tc>
        <w:tc>
          <w:tcPr/>
          <w:p>
            <w:r>
              <w:t>[Впишите] — юридический и фактический адрес</w:t>
            </w:r>
          </w:p>
        </w:tc>
      </w:tr>
      <w:tr>
        <w:tc>
          <w:tcPr/>
          <w:p>
            <w:r>
              <w:t>ИНН / № свидетельства о регистрации</w:t>
            </w:r>
          </w:p>
        </w:tc>
        <w:tc>
          <w:tcPr/>
          <w:p>
            <w:r>
              <w:t>[Впишите]</w:t>
            </w:r>
          </w:p>
        </w:tc>
      </w:tr>
      <w:tr>
        <w:tc>
          <w:tcPr/>
          <w:p>
            <w:r>
              <w:t>Учредители и доли</w:t>
            </w:r>
          </w:p>
        </w:tc>
        <w:tc>
          <w:tcPr/>
          <w:p>
            <w:r>
              <w:t>[Впишите] — Ф.И.О. / наименование, доли участия</w:t>
            </w:r>
          </w:p>
        </w:tc>
      </w:tr>
      <w:tr>
        <w:tc>
          <w:tcPr/>
          <w:p>
            <w:r>
              <w:t>Основной вид деятельности</w:t>
            </w:r>
          </w:p>
        </w:tc>
        <w:tc>
          <w:tcPr/>
          <w:p>
            <w:r>
              <w:t>Логистика и складские услуги</w:t>
            </w:r>
          </w:p>
        </w:tc>
      </w:tr>
      <w:tr>
        <w:tc>
          <w:tcPr/>
          <w:p>
            <w:r>
              <w:t>Дата государственной регистрации</w:t>
            </w:r>
          </w:p>
        </w:tc>
        <w:tc>
          <w:tcPr/>
          <w:p>
            <w:r>
              <w:t>[Впишите]</w:t>
            </w:r>
          </w:p>
        </w:tc>
      </w:tr>
      <w:tr>
        <w:tc>
          <w:tcPr/>
          <w:p>
            <w:r>
              <w:t>Руководитель</w:t>
            </w:r>
          </w:p>
        </w:tc>
        <w:tc>
          <w:tcPr/>
          <w:p>
            <w:r>
              <w:t>[Впишите] — Ф.И.О., должность</w:t>
            </w:r>
          </w:p>
        </w:tc>
      </w:tr>
      <w:tr>
        <w:tc>
          <w:tcPr/>
          <w:p>
            <w:r>
              <w:t>Банковские реквизиты</w:t>
            </w:r>
          </w:p>
        </w:tc>
        <w:tc>
          <w:tcPr/>
          <w:p>
            <w:r>
              <w:t>[Впишите] — обслуживающий банк, расчётный счёт</w:t>
            </w:r>
          </w:p>
        </w:tc>
      </w:tr>
    </w:tbl>
    <w:p>
      <w:r>
        <w:t>[Впишите] Реквизиты выше — не заполняйте вымышленными номерами: используйте настоящие данные вашей организации при подаче в банк.</w:t>
      </w:r>
    </w:p>
    <w:p>
      <w:pPr>
        <w:pStyle w:val="Heading2"/>
        <ck:id v="project-description"/>
      </w:pPr>
      <w:bookmarkStart w:id="4" w:name="project_description"/>
      <w:r>
        <w:t>Описание проекта</w:t>
      </w:r>
      <w:bookmarkEnd w:id="4"/>
    </w:p>
    <w:p>
      <w:r>
        <w:t>[Впишите] Организационно-правовая форма, текущий статус проекта (идея / действующий бизнес / расширение), уникальное торговое предложение, этапы реализации.</w:t>
      </w:r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(1) монтаж стеллажей, холодильной камеры и внедрение WMS/TMS — месяцы 1-2; (2) набор персонала и первые контракты-якоря с 2-3 продавцами маркетплейсов — месяцы 2-4; (3) выход на плановую загрузку ~70% паллето-мест — с 6-го месяца.</w:t>
                </w:r>
              </w:p>
            </w:tc>
          </w:tr>
        </w:tbl>
      </w:sdtContent>
    </w:sdt>
    <w:p>
      <w:pPr>
        <w:pStyle w:val="Heading2"/>
        <ck:id v="market"/>
      </w:pPr>
      <w:bookmarkStart w:id="5" w:name="market"/>
      <w:r>
        <w:t>Анализ рынка: Логистика и складские услуги</w:t>
      </w:r>
      <w:bookmarkEnd w:id="5"/>
    </w:p>
    <w:p>
      <w:pPr>
        <w:pStyle w:val="ListParagraph"/>
        <w:numPr>
          <w:ilvl w:val="0"/>
          <w:numId w:val="1"/>
        </w:numPr>
      </w:pPr>
      <w:r>
        <w:t>Узбекистан стремится закрепить роль транзитного логистического хаба Центральной Азии на маршрутах Китай — Центральная Азия — Европа/Южная Азия (Минтранс, gazeta.uz).</w:t>
      </w:r>
    </w:p>
    <w:p>
      <w:pPr>
        <w:pStyle w:val="ListParagraph"/>
        <w:numPr>
          <w:ilvl w:val="0"/>
          <w:numId w:val="1"/>
        </w:numPr>
      </w:pPr>
      <w:r>
        <w:t>По данным Spot.uz, на середину 2026 года Узбекистан получает лишь около 1-2% общего китайско-европейского транзита, хотя в 2025 году достиг рекордных 15,3 млн тонн грузов — потенциал роста большой, конкуренция с Казахстаном высокая.</w:t>
      </w:r>
    </w:p>
    <w:p>
      <w:pPr>
        <w:pStyle w:val="ListParagraph"/>
        <w:numPr>
          <w:ilvl w:val="0"/>
          <w:numId w:val="1"/>
        </w:numPr>
      </w:pPr>
      <w:r>
        <w:t>Ключевой структурный дефицит рынка — склады: из 27 логистических центров международного уровня лишь один относится к высшей категории; автоматизированные склады класса «А» закрывают только 10-15% спроса, ощущается дефицит холодильных и таможенных складов (spot.uz) — прямая ниша для нового бизнеса.</w:t>
      </w:r>
    </w:p>
    <w:p>
      <w:pPr>
        <w:pStyle w:val="ListParagraph"/>
        <w:numPr>
          <w:ilvl w:val="0"/>
          <w:numId w:val="1"/>
        </w:numPr>
      </w:pPr>
      <w:r>
        <w:t>Растёт спрос на холодильную логистику для агроэкспорта и на складские услуги для e-commerce и маркетплейсов (Uzum Market и др.) — два наиболее быстрорастущих сегмента логистики.</w:t>
      </w:r>
    </w:p>
    <w:p>
      <w:pPr>
        <w:pStyle w:val="ListParagraph"/>
        <w:numPr>
          <w:ilvl w:val="0"/>
          <w:numId w:val="1"/>
        </w:numPr>
      </w:pPr>
      <w:r>
        <w:t>Для сравнения: Казахстан располагает более развитой сетью сухих портов и жд-инфраструктурой на маршруте Китай — Европа; конкурентное преимущество Узбекистана — географическое положение на альтернативных южных маршрутах и более низкая стоимость рабочей силы.</w:t>
      </w:r>
    </w:p>
    <w:p>
      <w:pPr>
        <w:pStyle w:val="ListParagraph"/>
        <w:numPr>
          <w:ilvl w:val="0"/>
          <w:numId w:val="1"/>
        </w:numPr>
      </w:pPr>
      <w:r>
        <w:t>[Впишите] Уточните актуальные объёмы рынка, цены и конкурентов в вашем конкретном сегменте и регионе по данным отраслевой статистики и профильных ассоциаций.</w:t>
      </w:r>
    </w:p>
    <w:p>
      <w:pPr>
        <w:pStyle w:val="Heading3"/>
        <ck:id v="section-1"/>
      </w:pPr>
      <w:bookmarkStart w:id="6" w:name="section_1"/>
      <w:r>
        <w:t>Конкуренты</w:t>
      </w:r>
      <w:bookmarkEnd w:id="6"/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 — вымышленные компании для иллюстрации формата таблицы</w:t>
                </w:r>
              </w:p>
              <w:tbl>
                <w:tblPr>
                  <w:tblStyle w:val="CkTable"/>
                  <w:tblW w:w="0" w:type="auto"/>
                  <w:tblLayout w:type="autofit"/>
                  <w:tblLook w:firstRow="1" w:lastRow="0" w:firstColumn="0" w:lastColumn="0" w:noHBand="0" w:noVBand="1"/>
                </w:tblPr>
                <w:tblGrid>
                  <w:gridCol/>
                  <w:gridCol/>
                  <w:gridCol/>
                  <w:gridCol/>
                </w:tblGrid>
                <w:tr>
                  <w:trPr>
                    <w:tblHeader/>
                  </w:trPr>
                  <w:tc>
                    <w:tcPr/>
                    <w:p>
                      <w:r>
                        <w:rPr>
                          <w:b/>
                        </w:rPr>
                        <w:t>Конкурент</w:t>
                      </w:r>
                    </w:p>
                  </w:tc>
                  <w:tc>
                    <w:tcPr/>
                    <w:p>
                      <w:r>
                        <w:rPr>
                          <w:b/>
                        </w:rPr>
                        <w:t>Профиль</w:t>
                      </w:r>
                    </w:p>
                  </w:tc>
                  <w:tc>
                    <w:tcPr/>
                    <w:p>
                      <w:r>
                        <w:rPr>
                          <w:b/>
                        </w:rPr>
                        <w:t>Сильные стороны</w:t>
                      </w:r>
                    </w:p>
                  </w:tc>
                  <w:tc>
                    <w:tcPr/>
                    <w:p>
                      <w:r>
                        <w:rPr>
                          <w:b/>
                        </w:rPr>
                        <w:t>Слабые стороны</w:t>
                      </w:r>
                    </w:p>
                  </w:tc>
                </w:tr>
                <w:tr>
                  <w:tc>
                    <w:tcPr/>
                    <w:p>
                      <w:r>
                        <w:t>ООО «TezYetkaz Logistics»</w:t>
                      </w:r>
                    </w:p>
                  </w:tc>
                  <w:tc>
                    <w:tcPr/>
                    <w:p>
                      <w:r>
                        <w:t>мини-склад класса «А» с холодильной камерой рядом с оптовым рынком Ташкентской обл.</w:t>
                      </w:r>
                    </w:p>
                  </w:tc>
                  <w:tc>
                    <w:tcPr/>
                    <w:p>
                      <w:r>
                        <w:t>современная холодильная камера, близость к оптовому рынку</w:t>
                      </w:r>
                    </w:p>
                  </w:tc>
                  <w:tc>
                    <w:tcPr/>
                    <w:p>
                      <w:r>
                        <w:t>ограниченная площадь склада на старте</w:t>
                      </w:r>
                    </w:p>
                  </w:tc>
                </w:tr>
                <w:tr>
                  <w:tc>
                    <w:tcPr/>
                    <w:p>
                      <w:r>
                        <w:t>АО «SharqTrans Terminal»</w:t>
                      </w:r>
                    </w:p>
                  </w:tc>
                  <w:tc>
                    <w:tcPr/>
                    <w:p>
                      <w:r>
                        <w:t>крупный логистический терминал международного уровня</w:t>
                      </w:r>
                    </w:p>
                  </w:tc>
                  <w:tc>
                    <w:tcPr/>
                    <w:p>
                      <w:r>
                        <w:t>масштаб, таможенный склад временного хранения</w:t>
                      </w:r>
                    </w:p>
                  </w:tc>
                  <w:tc>
                    <w:tcPr/>
                    <w:p>
                      <w:r>
                        <w:t>выше тарифы, долгие процедуры оформления</w:t>
                      </w:r>
                    </w:p>
                  </w:tc>
                </w:tr>
                <w:tr>
                  <w:tc>
                    <w:tcPr/>
                    <w:p>
                      <w:r>
                        <w:t>ЧП «Yetkazib Ber Xizmati»</w:t>
                      </w:r>
                    </w:p>
                  </w:tc>
                  <w:tc>
                    <w:tcPr/>
                    <w:p>
                      <w:r>
                        <w:t>небольшой курьерско-транспортный сервис для маркетплейсов</w:t>
                      </w:r>
                    </w:p>
                  </w:tc>
                  <w:tc>
                    <w:tcPr/>
                    <w:p>
                      <w:r>
                        <w:t>гибкость, низкие тарифы для мелких продавцов</w:t>
                      </w:r>
                    </w:p>
                  </w:tc>
                  <w:tc>
                    <w:tcPr/>
                    <w:p>
                      <w:r>
                        <w:t>нет собственных складских мощностей</w:t>
                      </w:r>
                    </w:p>
                  </w:tc>
                </w:tr>
                <w:tr>
                  <w:tc>
                    <w:tcPr/>
                    <w:p>
                      <w:r>
                        <w:t>ООО «Vodiy Cold Chain»</w:t>
                      </w:r>
                    </w:p>
                  </w:tc>
                  <w:tc>
                    <w:tcPr/>
                    <w:p>
                      <w:r>
                        <w:t>специализированный холодильный логистический оператор в Ферганской долине</w:t>
                      </w:r>
                    </w:p>
                  </w:tc>
                  <w:tc>
                    <w:tcPr/>
                    <w:p>
                      <w:r>
                        <w:t>экспертиза в холодной цепи для агроэкспорта</w:t>
                      </w:r>
                    </w:p>
                  </w:tc>
                  <w:tc>
                    <w:tcPr/>
                    <w:p>
                      <w:r>
                        <w:t>региональная привязка, слабее в фулфилменте e-commerce</w:t>
                      </w:r>
                    </w:p>
                  </w:tc>
                </w:tr>
              </w:tbl>
              <w:p/>
            </w:tc>
          </w:tr>
        </w:tbl>
      </w:sdtContent>
    </w:sdt>
    <w:p>
      <w:r>
        <w:t>[Впишите] Список из 3-5 РЕАЛЬНЫХ прямых конкурентов вашего проекта (компании выше — вымышленный пример для иллюстрации формата), их сильные и слабые стороны, чем вы отличаетесь.</w:t>
      </w:r>
    </w:p>
    <w:p>
      <w:pPr>
        <w:pStyle w:val="Heading3"/>
        <ck:id v="section-2"/>
      </w:pPr>
      <w:bookmarkStart w:id="7" w:name="section_2"/>
      <w:r>
        <w:t>Конкурентный ответ</w:t>
      </w:r>
      <w:bookmarkEnd w:id="7"/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Фактор конкуренции</w:t>
            </w:r>
          </w:p>
        </w:tc>
        <w:tc>
          <w:tcPr/>
          <w:p>
            <w:r>
              <w:rPr>
                <w:b/>
              </w:rPr>
              <w:t>Подход компании</w:t>
            </w:r>
          </w:p>
        </w:tc>
      </w:tr>
      <w:tr>
        <w:tc>
          <w:tcPr/>
          <w:p>
            <w:r>
              <w:t>Ниша</w:t>
            </w:r>
          </w:p>
        </w:tc>
        <w:tc>
          <w:tcPr/>
          <w:p>
            <w:r>
              <w:t>холодильная камера + фулфилмент для маркетплейсов закрывают дефицит, который отмечают отраслевые обзоры</w:t>
            </w:r>
          </w:p>
        </w:tc>
      </w:tr>
      <w:tr>
        <w:tc>
          <w:tcPr/>
          <w:p>
            <w:r>
              <w:t>Расположение</w:t>
            </w:r>
          </w:p>
        </w:tc>
        <w:tc>
          <w:tcPr/>
          <w:p>
            <w:r>
              <w:t>промзона Ташкентской области — близость к оптовому рынку и основным транспортным артериям</w:t>
            </w:r>
          </w:p>
        </w:tc>
      </w:tr>
      <w:tr>
        <w:tc>
          <w:tcPr/>
          <w:p>
            <w:r>
              <w:t>Диверсификация выручки</w:t>
            </w:r>
          </w:p>
        </w:tc>
        <w:tc>
          <w:tcPr/>
          <w:p>
            <w:r>
              <w:t>перевозки + хранение + фулфилмент + экспедирование — 4 источника снижают риск недозагрузки</w:t>
            </w:r>
          </w:p>
        </w:tc>
      </w:tr>
    </w:tbl>
    <w:p>
      <w:pPr>
        <w:pStyle w:val="Heading3"/>
        <ck:id v="section-3"/>
      </w:pPr>
      <w:bookmarkStart w:id="8" w:name="section_3"/>
      <w:r>
        <w:t>Целевая аудитория</w:t>
      </w:r>
      <w:bookmarkEnd w:id="8"/>
    </w:p>
    <w:p>
      <w:r>
        <w:t>[Впишите] Портрет основного клиента. Пример: Продавцы маркетплейсов (Uzum Market и аналоги), агроэкспортёры плодоовощной продукции и оптовые торговые компании; для них важны надёжность холодной цепи, скорость обработки заказов и прозрачный учёт в WMS.</w:t>
      </w:r>
    </w:p>
    <w:p>
      <w:pPr>
        <w:pStyle w:val="Heading2"/>
        <ck:id v="marketing"/>
      </w:pPr>
      <w:bookmarkStart w:id="9" w:name="marketing"/>
      <w:r>
        <w:t>Маркетинговый план</w:t>
      </w:r>
      <w:bookmarkEnd w:id="9"/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Цена — за паллето-место в месяц и за обработку заказа, на уровне рыночной с наценкой за холодильную камеру; продвижение — прямые переговоры с продавцами маркетплейсов и агроэкспортёрами, участие в логистических ассоциациях, первые клиенты — через личные контакты владельца в отрасли.</w:t>
                </w:r>
              </w:p>
            </w:tc>
          </w:tr>
        </w:tbl>
      </w:sdtContent>
    </w:sdt>
    <w:p>
      <w:r>
        <w:t>[Впишите] Ценообразование, каналы продвижения и продаж, план привлечения первых клиентов.</w:t>
      </w:r>
    </w:p>
    <w:p>
      <w:pPr>
        <w:pStyle w:val="Heading2"/>
        <ck:id v="org"/>
      </w:pPr>
      <w:bookmarkStart w:id="10" w:name="org"/>
      <w:r>
        <w:t>Организационный план и персонал</w:t>
      </w:r>
      <w:bookmarkEnd w:id="10"/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Менеджер по продажам (административный блок) и производственный персонал склада: кладовщик-оператор WMS, 3 грузчика, 2 водителя. Форма — ООО, общий налоговый режим.</w:t>
                </w:r>
              </w:p>
            </w:tc>
          </w:tr>
        </w:tbl>
      </w:sdtContent>
    </w:sdt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Должность</w:t>
            </w:r>
          </w:p>
        </w:tc>
        <w:tc>
          <w:tcPr/>
          <w:p>
            <w:r>
              <w:rPr>
                <w:b/>
              </w:rPr>
              <w:t>Кол-во, чел.</w:t>
            </w:r>
          </w:p>
        </w:tc>
        <w:tc>
          <w:tcPr/>
          <w:p>
            <w:r>
              <w:rPr>
                <w:b/>
              </w:rPr>
              <w:t>Оклад, сум/мес</w:t>
            </w:r>
          </w:p>
        </w:tc>
        <w:tc>
          <w:tcPr/>
          <w:p>
            <w:r>
              <w:rPr>
                <w:b/>
              </w:rPr>
              <w:t>ФОТ, сум/мес</w:t>
            </w:r>
          </w:p>
        </w:tc>
        <w:tc>
          <w:tcPr/>
          <w:p>
            <w:r>
              <w:rPr>
                <w:b/>
              </w:rPr>
              <w:t>Категория</w:t>
            </w:r>
          </w:p>
        </w:tc>
      </w:tr>
      <w:tr>
        <w:tc>
          <w:tcPr/>
          <w:p>
            <w:r>
              <w:t>Кладовщик-WMS</w:t>
            </w:r>
          </w:p>
        </w:tc>
        <w:tc>
          <w:tcPr/>
          <w:p>
            <w:r>
              <w:t>1</w:t>
            </w:r>
          </w:p>
        </w:tc>
        <w:tc>
          <w:tcPr/>
          <w:p>
            <w:r>
              <w:t>9 500 000</w:t>
            </w:r>
          </w:p>
        </w:tc>
        <w:tc>
          <w:tcPr/>
          <w:p>
            <w:r>
              <w:t>9 500 000</w:t>
            </w:r>
          </w:p>
        </w:tc>
        <w:tc>
          <w:tcPr/>
          <w:p>
            <w:r>
              <w:t>Производственный</w:t>
            </w:r>
          </w:p>
        </w:tc>
      </w:tr>
      <w:tr>
        <w:tc>
          <w:tcPr/>
          <w:p>
            <w:r>
              <w:t>Грузчики</w:t>
            </w:r>
          </w:p>
        </w:tc>
        <w:tc>
          <w:tcPr/>
          <w:p>
            <w:r>
              <w:t>3</w:t>
            </w:r>
          </w:p>
        </w:tc>
        <w:tc>
          <w:tcPr/>
          <w:p>
            <w:r>
              <w:t>6 500 000</w:t>
            </w:r>
          </w:p>
        </w:tc>
        <w:tc>
          <w:tcPr/>
          <w:p>
            <w:r>
              <w:t>19 500 000</w:t>
            </w:r>
          </w:p>
        </w:tc>
        <w:tc>
          <w:tcPr/>
          <w:p>
            <w:r>
              <w:t>Производственный</w:t>
            </w:r>
          </w:p>
        </w:tc>
      </w:tr>
      <w:tr>
        <w:tc>
          <w:tcPr/>
          <w:p>
            <w:r>
              <w:t>Водители</w:t>
            </w:r>
          </w:p>
        </w:tc>
        <w:tc>
          <w:tcPr/>
          <w:p>
            <w:r>
              <w:t>2</w:t>
            </w:r>
          </w:p>
        </w:tc>
        <w:tc>
          <w:tcPr/>
          <w:p>
            <w:r>
              <w:t>11 000 000</w:t>
            </w:r>
          </w:p>
        </w:tc>
        <w:tc>
          <w:tcPr/>
          <w:p>
            <w:r>
              <w:t>22 000 000</w:t>
            </w:r>
          </w:p>
        </w:tc>
        <w:tc>
          <w:tcPr/>
          <w:p>
            <w:r>
              <w:t>Производственный</w:t>
            </w:r>
          </w:p>
        </w:tc>
      </w:tr>
      <w:tr>
        <w:tc>
          <w:tcPr/>
          <w:p>
            <w:r>
              <w:t>Менеджер по продажам</w:t>
            </w:r>
          </w:p>
        </w:tc>
        <w:tc>
          <w:tcPr/>
          <w:p>
            <w:r>
              <w:t>1</w:t>
            </w:r>
          </w:p>
        </w:tc>
        <w:tc>
          <w:tcPr/>
          <w:p>
            <w:r>
              <w:t>14 000 000</w:t>
            </w:r>
          </w:p>
        </w:tc>
        <w:tc>
          <w:tcPr/>
          <w:p>
            <w:r>
              <w:t>14 000 000</w:t>
            </w:r>
          </w:p>
        </w:tc>
        <w:tc>
          <w:tcPr/>
          <w:p>
            <w:r>
              <w:t>Административный</w:t>
            </w:r>
          </w:p>
        </w:tc>
      </w:tr>
      <w:tr>
        <w:tc>
          <w:tcPr/>
          <w:p>
            <w:r>
              <w:rPr>
                <w:b/>
              </w:rPr>
              <w:t>Итого персонал</w:t>
            </w:r>
          </w:p>
        </w:tc>
        <w:tc>
          <w:tcPr/>
          <w:p>
            <w:r>
              <w:rPr>
                <w:b/>
              </w:rPr>
              <w:t>7</w:t>
            </w:r>
          </w:p>
        </w:tc>
        <w:tc>
          <w:tcPr/>
          <w:p/>
        </w:tc>
        <w:tc>
          <w:tcPr/>
          <w:p>
            <w:r>
              <w:rPr>
                <w:b/>
              </w:rPr>
              <w:t>65 000 000</w:t>
            </w:r>
          </w:p>
        </w:tc>
        <w:tc>
          <w:tcPr/>
          <w:p/>
        </w:tc>
      </w:tr>
      <w:tr>
        <w:tc>
          <w:tcPr/>
          <w:p>
            <w:r>
              <w:t>ЕСП (единый социальный платёж, 12% от ФОТ)</w:t>
            </w:r>
          </w:p>
        </w:tc>
        <w:tc>
          <w:tcPr/>
          <w:p/>
        </w:tc>
        <w:tc>
          <w:tcPr/>
          <w:p/>
        </w:tc>
        <w:tc>
          <w:tcPr/>
          <w:p>
            <w:r>
              <w:t>7 800 000</w:t>
            </w:r>
          </w:p>
        </w:tc>
        <w:tc>
          <w:tcPr/>
          <w:p/>
        </w:tc>
      </w:tr>
      <w:tr>
        <w:tc>
          <w:tcPr/>
          <w:p>
            <w:r>
              <w:rPr>
                <w:b/>
              </w:rPr>
              <w:t>Итого ФОТ с ЕСП, сум/мес</w:t>
            </w:r>
          </w:p>
        </w:tc>
        <w:tc>
          <w:tcPr/>
          <w:p/>
        </w:tc>
        <w:tc>
          <w:tcPr/>
          <w:p/>
        </w:tc>
        <w:tc>
          <w:tcPr/>
          <w:p>
            <w:r>
              <w:rPr>
                <w:b/>
              </w:rPr>
              <w:t>72 800 000</w:t>
            </w:r>
          </w:p>
        </w:tc>
        <w:tc>
          <w:tcPr/>
          <w:p/>
        </w:tc>
      </w:tr>
    </w:tbl>
    <w:p>
      <w:r>
        <w:t>[Впишите] Штатное расписание, оклады и организационно-правовая форма вашей компании.</w:t>
      </w:r>
    </w:p>
    <w:p>
      <w:pPr>
        <w:pStyle w:val="Heading2"/>
        <ck:id v="financing"/>
      </w:pPr>
      <w:bookmarkStart w:id="11" w:name="financing"/>
      <w:r>
        <w:t>Смета проекта и структура финансирования</w:t>
      </w:r>
      <w:bookmarkEnd w:id="11"/>
    </w:p>
    <w:p>
      <w:r>
        <w:rPr>
          <w:b/>
        </w:rPr>
        <w:t>Смета проекта (стартовые инвестиции)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Статья затрат</w:t>
            </w:r>
          </w:p>
        </w:tc>
        <w:tc>
          <w:tcPr/>
          <w:p>
            <w:r>
              <w:rPr>
                <w:b/>
              </w:rPr>
              <w:t>Сумма, сум</w:t>
            </w:r>
          </w:p>
        </w:tc>
        <w:tc>
          <w:tcPr/>
          <w:p>
            <w:r>
              <w:rPr>
                <w:b/>
              </w:rPr>
              <w:t>Тип актива</w:t>
            </w:r>
          </w:p>
        </w:tc>
      </w:tr>
      <w:tr>
        <w:tc>
          <w:tcPr/>
          <w:p>
            <w:r>
              <w:t>Транспорт (погрузчик, фургон)</w:t>
            </w:r>
          </w:p>
        </w:tc>
        <w:tc>
          <w:tcPr/>
          <w:p>
            <w:r>
              <w:t>300 000 000</w:t>
            </w:r>
          </w:p>
        </w:tc>
        <w:tc>
          <w:tcPr/>
          <w:p>
            <w:r>
              <w:t>Основные средства</w:t>
            </w:r>
          </w:p>
        </w:tc>
      </w:tr>
      <w:tr>
        <w:tc>
          <w:tcPr/>
          <w:p>
            <w:r>
              <w:t>Складское оборудование / стеллажи</w:t>
            </w:r>
          </w:p>
        </w:tc>
        <w:tc>
          <w:tcPr/>
          <w:p>
            <w:r>
              <w:t>550 000 000</w:t>
            </w:r>
          </w:p>
        </w:tc>
        <w:tc>
          <w:tcPr/>
          <w:p>
            <w:r>
              <w:t>Основные средства</w:t>
            </w:r>
          </w:p>
        </w:tc>
      </w:tr>
      <w:tr>
        <w:tc>
          <w:tcPr/>
          <w:p>
            <w:r>
              <w:t>Холодильное оборудование</w:t>
            </w:r>
          </w:p>
        </w:tc>
        <w:tc>
          <w:tcPr/>
          <w:p>
            <w:r>
              <w:t>350 000 000</w:t>
            </w:r>
          </w:p>
        </w:tc>
        <w:tc>
          <w:tcPr/>
          <w:p>
            <w:r>
              <w:t>Основные средства</w:t>
            </w:r>
          </w:p>
        </w:tc>
      </w:tr>
      <w:tr>
        <w:tc>
          <w:tcPr/>
          <w:p>
            <w:r>
              <w:t>IT-система учёта (WMS/TMS)</w:t>
            </w:r>
          </w:p>
        </w:tc>
        <w:tc>
          <w:tcPr/>
          <w:p>
            <w:r>
              <w:t>60 000 000</w:t>
            </w:r>
          </w:p>
        </w:tc>
        <w:tc>
          <w:tcPr/>
          <w:p>
            <w:r>
              <w:t>Основные средства</w:t>
            </w:r>
          </w:p>
        </w:tc>
      </w:tr>
      <w:tr>
        <w:tc>
          <w:tcPr/>
          <w:p>
            <w:r>
              <w:t>Регистрация и лицензии перевозчика</w:t>
            </w:r>
          </w:p>
        </w:tc>
        <w:tc>
          <w:tcPr/>
          <w:p>
            <w:r>
              <w:t>15 000 000</w:t>
            </w:r>
          </w:p>
        </w:tc>
        <w:tc>
          <w:tcPr/>
          <w:p>
            <w:r>
              <w:t>Оборотные средства</w:t>
            </w:r>
          </w:p>
        </w:tc>
      </w:tr>
      <w:tr>
        <w:tc>
          <w:tcPr/>
          <w:p>
            <w:r>
              <w:t>Финансирование дебиторской задолженности и запасов на период выхода на плановую мощность</w:t>
            </w:r>
          </w:p>
        </w:tc>
        <w:tc>
          <w:tcPr/>
          <w:p>
            <w:r>
              <w:t>291 205 000</w:t>
            </w:r>
          </w:p>
        </w:tc>
        <w:tc>
          <w:tcPr/>
          <w:p>
            <w:r>
              <w:t>Оборотные средства</w:t>
            </w:r>
          </w:p>
        </w:tc>
      </w:tr>
      <w:tr>
        <w:tc>
          <w:tcPr/>
          <w:p>
            <w:r>
              <w:t>Итого основные средства</w:t>
            </w:r>
          </w:p>
        </w:tc>
        <w:tc>
          <w:tcPr/>
          <w:p>
            <w:r>
              <w:rPr>
                <w:b/>
              </w:rPr>
              <w:t>1 260 000 000</w:t>
            </w:r>
          </w:p>
        </w:tc>
        <w:tc>
          <w:tcPr/>
          <w:p/>
        </w:tc>
      </w:tr>
      <w:tr>
        <w:tc>
          <w:tcPr/>
          <w:p>
            <w:r>
              <w:t>Итого оборотные средства</w:t>
            </w:r>
          </w:p>
        </w:tc>
        <w:tc>
          <w:tcPr/>
          <w:p>
            <w:r>
              <w:rPr>
                <w:b/>
              </w:rPr>
              <w:t>306 205 000</w:t>
            </w:r>
          </w:p>
        </w:tc>
        <w:tc>
          <w:tcPr/>
          <w:p/>
        </w:tc>
      </w:tr>
      <w:tr>
        <w:tc>
          <w:tcPr/>
          <w:p>
            <w:r>
              <w:rPr>
                <w:b/>
              </w:rPr>
              <w:t>ИТОГО СМЕТА ПРОЕКТА</w:t>
            </w:r>
          </w:p>
        </w:tc>
        <w:tc>
          <w:tcPr/>
          <w:p>
            <w:r>
              <w:rPr>
                <w:b/>
              </w:rPr>
              <w:t>1 566 205 000</w:t>
            </w:r>
          </w:p>
        </w:tc>
        <w:tc>
          <w:tcPr/>
          <w:p/>
        </w:tc>
      </w:tr>
    </w:tbl>
    <w:p>
      <w:r>
        <w:rPr>
          <w:rStyle w:val="CkCaption"/>
          <w:i/>
        </w:rPr>
        <w:t>Строка «Финансирование дебиторской задолженности и запасов на период выхода на плановую мощность» — расчётная величина: расчётная величина — обеспечивает положительный остаток денежных средств в течение Года 1 при выходе на плановую загрузку (см. лист «Поток наличности»).</w:t>
      </w:r>
    </w:p>
    <w:p>
      <w:r>
        <w:rPr>
          <w:b/>
        </w:rPr>
        <w:t>Структура финансирования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Источник</w:t>
            </w:r>
          </w:p>
        </w:tc>
        <w:tc>
          <w:tcPr/>
          <w:p>
            <w:r>
              <w:rPr>
                <w:b/>
              </w:rPr>
              <w:t>Сумма, сум</w:t>
            </w:r>
          </w:p>
        </w:tc>
        <w:tc>
          <w:tcPr/>
          <w:p>
            <w:r>
              <w:rPr>
                <w:b/>
              </w:rPr>
              <w:t>Доля, %</w:t>
            </w:r>
          </w:p>
        </w:tc>
      </w:tr>
      <w:tr>
        <w:tc>
          <w:tcPr/>
          <w:p>
            <w:r>
              <w:t>Банковский кредит</w:t>
            </w:r>
          </w:p>
        </w:tc>
        <w:tc>
          <w:tcPr/>
          <w:p>
            <w:r>
              <w:t>1 260 000 000</w:t>
            </w:r>
          </w:p>
        </w:tc>
        <w:tc>
          <w:tcPr/>
          <w:p>
            <w:r>
              <w:t>78,8%</w:t>
            </w:r>
          </w:p>
        </w:tc>
      </w:tr>
      <w:tr>
        <w:tc>
          <w:tcPr/>
          <w:p>
            <w:r>
              <w:t>Собственный капитал инициатора</w:t>
            </w:r>
          </w:p>
        </w:tc>
        <w:tc>
          <w:tcPr/>
          <w:p>
            <w:r>
              <w:t>339 705 000</w:t>
            </w:r>
          </w:p>
        </w:tc>
        <w:tc>
          <w:tcPr/>
          <w:p>
            <w:r>
              <w:t>21,2%</w:t>
            </w:r>
          </w:p>
        </w:tc>
      </w:tr>
      <w:tr>
        <w:tc>
          <w:tcPr/>
          <w:p>
            <w:r>
              <w:rPr>
                <w:b/>
              </w:rPr>
              <w:t>ИТОГО ПОТРЕБНОСТЬ В ФИНАНСИРОВАНИИ</w:t>
            </w:r>
          </w:p>
        </w:tc>
        <w:tc>
          <w:tcPr/>
          <w:p>
            <w:r>
              <w:rPr>
                <w:b/>
              </w:rPr>
              <w:t>1 599 705 000</w:t>
            </w:r>
          </w:p>
        </w:tc>
        <w:tc>
          <w:tcPr/>
          <w:p>
            <w:r>
              <w:rPr>
                <w:b/>
              </w:rPr>
              <w:t>100%</w:t>
            </w:r>
          </w:p>
        </w:tc>
      </w:tr>
    </w:tbl>
    <w:p>
      <w:r>
        <w:rPr>
          <w:b/>
        </w:rPr>
        <w:t>Условия кредита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Параметр</w:t>
            </w:r>
          </w:p>
        </w:tc>
        <w:tc>
          <w:tcPr/>
          <w:p>
            <w:r>
              <w:rPr>
                <w:b/>
              </w:rPr>
              <w:t>Значение</w:t>
            </w:r>
          </w:p>
        </w:tc>
      </w:tr>
      <w:tr>
        <w:tc>
          <w:tcPr/>
          <w:p>
            <w:r>
              <w:t>Сумма кредита</w:t>
            </w:r>
          </w:p>
        </w:tc>
        <w:tc>
          <w:tcPr/>
          <w:p>
            <w:r>
              <w:t>1 260 000 000 сум</w:t>
            </w:r>
          </w:p>
        </w:tc>
      </w:tr>
      <w:tr>
        <w:tc>
          <w:tcPr/>
          <w:p>
            <w:r>
              <w:t>Срок</w:t>
            </w:r>
          </w:p>
        </w:tc>
        <w:tc>
          <w:tcPr/>
          <w:p>
            <w:r>
              <w:t>48 месяцев</w:t>
            </w:r>
          </w:p>
        </w:tc>
      </w:tr>
      <w:tr>
        <w:tc>
          <w:tcPr/>
          <w:p>
            <w:r>
              <w:t>Процентная ставка</w:t>
            </w:r>
          </w:p>
        </w:tc>
        <w:tc>
          <w:tcPr/>
          <w:p>
            <w:r>
              <w:t>22% годовых</w:t>
            </w:r>
          </w:p>
        </w:tc>
      </w:tr>
      <w:tr>
        <w:tc>
          <w:tcPr/>
          <w:p>
            <w:r>
              <w:t>Льготный период (уплата только процентов)</w:t>
            </w:r>
          </w:p>
        </w:tc>
        <w:tc>
          <w:tcPr/>
          <w:p>
            <w:r>
              <w:t>6 месяца(ев)</w:t>
            </w:r>
          </w:p>
        </w:tc>
      </w:tr>
      <w:tr>
        <w:tc>
          <w:tcPr/>
          <w:p>
            <w:r>
              <w:t>Порядок погашения основного долга</w:t>
            </w:r>
          </w:p>
        </w:tc>
        <w:tc>
          <w:tcPr/>
          <w:p>
            <w:r>
              <w:t>равными долями после льготного периода</w:t>
            </w:r>
          </w:p>
        </w:tc>
      </w:tr>
      <w:tr>
        <w:tc>
          <w:tcPr/>
          <w:p>
            <w:r>
              <w:t>Разовые сборы (комиссия банка 1,5%, нотариальное оформление залога, страхование залога 1%)</w:t>
            </w:r>
          </w:p>
        </w:tc>
        <w:tc>
          <w:tcPr/>
          <w:p>
            <w:r>
              <w:t>33 500 000 сум</w:t>
            </w:r>
          </w:p>
        </w:tc>
      </w:tr>
    </w:tbl>
    <w:p>
      <w:r>
        <w:t>[Впишите] Замените суммы, условия кредита и долю собственного капитала на данные вашего проекта — банк оценивает прежде всего долю собственного участия заёмщика и достаточность залогового обеспечения.</w:t>
      </w:r>
    </w:p>
    <w:p>
      <w:pPr>
        <w:pStyle w:val="Heading2"/>
        <ck:id v="financial-plan"/>
      </w:pPr>
      <w:bookmarkStart w:id="12" w:name="financial_plan"/>
      <w:r>
        <w:t>Финансовый план</w:t>
      </w:r>
      <w:bookmarkEnd w:id="12"/>
    </w:p>
    <w:p>
      <w:r>
        <w:rPr>
          <w:rStyle w:val="CkCaption"/>
          <w:i/>
        </w:rPr>
        <w:t>Показатели ниже рассчитаны в приложенном Excel-файле по формулам и приведены здесь для удобства чтения; при изменении исходных данных в Excel все цифры пересчитаются автоматически.</w:t>
      </w:r>
    </w:p>
    <w:p>
      <w:r>
        <w:rPr>
          <w:b/>
        </w:rPr>
        <w:t>Выручка при выходе на проектную мощность (сум/мес)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Канал сбыта</w:t>
            </w:r>
          </w:p>
        </w:tc>
        <w:tc>
          <w:tcPr/>
          <w:p>
            <w:r>
              <w:rPr>
                <w:b/>
              </w:rPr>
              <w:t>Доля</w:t>
            </w:r>
          </w:p>
        </w:tc>
        <w:tc>
          <w:tcPr/>
          <w:p>
            <w:r>
              <w:rPr>
                <w:b/>
              </w:rPr>
              <w:t>Сумма, сум/мес</w:t>
            </w:r>
          </w:p>
        </w:tc>
      </w:tr>
      <w:tr>
        <w:tc>
          <w:tcPr/>
          <w:p>
            <w:r>
              <w:t>Перевозки по договорам</w:t>
            </w:r>
          </w:p>
        </w:tc>
        <w:tc>
          <w:tcPr/>
          <w:p>
            <w:r>
              <w:t>38%</w:t>
            </w:r>
          </w:p>
        </w:tc>
        <w:tc>
          <w:tcPr/>
          <w:p>
            <w:r>
              <w:t>90 000 000</w:t>
            </w:r>
          </w:p>
        </w:tc>
      </w:tr>
      <w:tr>
        <w:tc>
          <w:tcPr/>
          <w:p>
            <w:r>
              <w:t>Складское хранение</w:t>
            </w:r>
          </w:p>
        </w:tc>
        <w:tc>
          <w:tcPr/>
          <w:p>
            <w:r>
              <w:t>17%</w:t>
            </w:r>
          </w:p>
        </w:tc>
        <w:tc>
          <w:tcPr/>
          <w:p>
            <w:r>
              <w:t>40 000 000</w:t>
            </w:r>
          </w:p>
        </w:tc>
      </w:tr>
      <w:tr>
        <w:tc>
          <w:tcPr/>
          <w:p>
            <w:r>
              <w:t>Фулфилмент для продавцов маркетплейсов</w:t>
            </w:r>
          </w:p>
        </w:tc>
        <w:tc>
          <w:tcPr/>
          <w:p>
            <w:r>
              <w:t>30%</w:t>
            </w:r>
          </w:p>
        </w:tc>
        <w:tc>
          <w:tcPr/>
          <w:p>
            <w:r>
              <w:t>70 000 000</w:t>
            </w:r>
          </w:p>
        </w:tc>
      </w:tr>
      <w:tr>
        <w:tc>
          <w:tcPr/>
          <w:p>
            <w:r>
              <w:t>Экспедирование и таможенное оформление</w:t>
            </w:r>
          </w:p>
        </w:tc>
        <w:tc>
          <w:tcPr/>
          <w:p>
            <w:r>
              <w:t>15%</w:t>
            </w:r>
          </w:p>
        </w:tc>
        <w:tc>
          <w:tcPr/>
          <w:p>
            <w:r>
              <w:t>35 000 000</w:t>
            </w:r>
          </w:p>
        </w:tc>
      </w:tr>
      <w:tr>
        <w:tc>
          <w:tcPr/>
          <w:p>
            <w:r>
              <w:rPr>
                <w:b/>
              </w:rPr>
              <w:t>ИТОГО ВЫРУЧКА ПРИ ПОЛНОЙ МОЩНОСТИ</w:t>
            </w:r>
          </w:p>
        </w:tc>
        <w:tc>
          <w:tcPr/>
          <w:p>
            <w:r>
              <w:rPr>
                <w:b/>
              </w:rPr>
              <w:t>100%</w:t>
            </w:r>
          </w:p>
        </w:tc>
        <w:tc>
          <w:tcPr/>
          <w:p>
            <w:r>
              <w:rPr>
                <w:b/>
              </w:rPr>
              <w:t>235 000 000</w:t>
            </w:r>
          </w:p>
        </w:tc>
      </w:tr>
    </w:tbl>
    <w:p>
      <w:r>
        <w:rPr>
          <w:b/>
        </w:rPr>
        <w:t>Затраты при выходе на проектную мощность (сум/мес)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Статья затрат</w:t>
            </w:r>
          </w:p>
        </w:tc>
        <w:tc>
          <w:tcPr/>
          <w:p>
            <w:r>
              <w:rPr>
                <w:b/>
              </w:rPr>
              <w:t>Сумма, сум/мес</w:t>
            </w:r>
          </w:p>
        </w:tc>
        <w:tc>
          <w:tcPr/>
          <w:p>
            <w:r>
              <w:rPr>
                <w:b/>
              </w:rPr>
              <w:t>Доля постоянных</w:t>
            </w:r>
          </w:p>
        </w:tc>
      </w:tr>
      <w:tr>
        <w:tc>
          <w:tcPr/>
          <w:p>
            <w:r>
              <w:t>Сырьё / материалы</w:t>
            </w:r>
          </w:p>
        </w:tc>
        <w:tc>
          <w:tcPr/>
          <w:p>
            <w:r>
              <w:t>30 000 000</w:t>
            </w:r>
          </w:p>
        </w:tc>
        <w:tc>
          <w:tcPr/>
          <w:p>
            <w:r>
              <w:t>0%</w:t>
            </w:r>
          </w:p>
        </w:tc>
      </w:tr>
      <w:tr>
        <w:tc>
          <w:tcPr/>
          <w:p>
            <w:r>
              <w:t>Коммунальные услуги</w:t>
            </w:r>
          </w:p>
        </w:tc>
        <w:tc>
          <w:tcPr/>
          <w:p>
            <w:r>
              <w:t>15 000 000</w:t>
            </w:r>
          </w:p>
        </w:tc>
        <w:tc>
          <w:tcPr/>
          <w:p>
            <w:r>
              <w:t>30%</w:t>
            </w:r>
          </w:p>
        </w:tc>
      </w:tr>
      <w:tr>
        <w:tc>
          <w:tcPr/>
          <w:p>
            <w:r>
              <w:t>ФОТ и ЕСП производственный</w:t>
            </w:r>
          </w:p>
        </w:tc>
        <w:tc>
          <w:tcPr/>
          <w:p>
            <w:r>
              <w:t>57 120 000</w:t>
            </w:r>
          </w:p>
        </w:tc>
        <w:tc>
          <w:tcPr/>
          <w:p>
            <w:r>
              <w:t>100%</w:t>
            </w:r>
          </w:p>
        </w:tc>
      </w:tr>
      <w:tr>
        <w:tc>
          <w:tcPr/>
          <w:p>
            <w:r>
              <w:t>ФОТ и ЕСП административный</w:t>
            </w:r>
          </w:p>
        </w:tc>
        <w:tc>
          <w:tcPr/>
          <w:p>
            <w:r>
              <w:t>15 680 000</w:t>
            </w:r>
          </w:p>
        </w:tc>
        <w:tc>
          <w:tcPr/>
          <w:p>
            <w:r>
              <w:t>100%</w:t>
            </w:r>
          </w:p>
        </w:tc>
      </w:tr>
      <w:tr>
        <w:tc>
          <w:tcPr/>
          <w:p>
            <w:r>
              <w:t>Амортизация</w:t>
            </w:r>
          </w:p>
        </w:tc>
        <w:tc>
          <w:tcPr/>
          <w:p>
            <w:r>
              <w:t>15 208 333</w:t>
            </w:r>
          </w:p>
        </w:tc>
        <w:tc>
          <w:tcPr/>
          <w:p>
            <w:r>
              <w:t>100%</w:t>
            </w:r>
          </w:p>
        </w:tc>
      </w:tr>
      <w:tr>
        <w:tc>
          <w:tcPr/>
          <w:p>
            <w:r>
              <w:t>Прочие общехозяйственные расходы</w:t>
            </w:r>
          </w:p>
        </w:tc>
        <w:tc>
          <w:tcPr/>
          <w:p>
            <w:r>
              <w:t>63 000 000</w:t>
            </w:r>
          </w:p>
        </w:tc>
        <w:tc>
          <w:tcPr/>
          <w:p>
            <w:r>
              <w:t>100%</w:t>
            </w:r>
          </w:p>
        </w:tc>
      </w:tr>
      <w:tr>
        <w:tc>
          <w:tcPr/>
          <w:p>
            <w:r>
              <w:rPr>
                <w:b/>
              </w:rPr>
              <w:t>ИТОГО ЗАТРАТЫ ПРИ ПОЛНОЙ МОЩНОСТИ</w:t>
            </w:r>
          </w:p>
        </w:tc>
        <w:tc>
          <w:tcPr/>
          <w:p>
            <w:r>
              <w:rPr>
                <w:b/>
              </w:rPr>
              <w:t>196 008 333</w:t>
            </w:r>
          </w:p>
        </w:tc>
        <w:tc>
          <w:tcPr/>
          <w:p/>
        </w:tc>
      </w:tr>
    </w:tbl>
    <w:p>
      <w:r>
        <w:rPr>
          <w:b/>
        </w:rPr>
        <w:t>Выход на мощность в Году 1</w:t>
      </w:r>
      <w:r>
        <w:t xml:space="preserve"> — проект не стартует сразу со 100% загрузки: в модели заложен постепенный выход на проектную мощность за 6 месяцев (50% → 65% → 78% → 88% → 95% → 100%), что реалистичнее для нового бизнеса и напрямую влияет на потребность в оборотном капитале и денежный поток первых месяцев (см. лист «План продаж» в Excel).</w:t>
      </w:r>
    </w:p>
    <w:p>
      <w:r>
        <w:rPr>
          <w:b/>
        </w:rPr>
        <w:t>Ключевые показатели по месяцам Года 1, сум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Показатель</w:t>
            </w:r>
          </w:p>
        </w:tc>
        <w:tc>
          <w:tcPr/>
          <w:p>
            <w:r>
              <w:rPr>
                <w:b/>
              </w:rPr>
              <w:t>Мес. 1</w:t>
            </w:r>
          </w:p>
        </w:tc>
        <w:tc>
          <w:tcPr/>
          <w:p>
            <w:r>
              <w:rPr>
                <w:b/>
              </w:rPr>
              <w:t>Мес. 3</w:t>
            </w:r>
          </w:p>
        </w:tc>
        <w:tc>
          <w:tcPr/>
          <w:p>
            <w:r>
              <w:rPr>
                <w:b/>
              </w:rPr>
              <w:t>Мес. 6</w:t>
            </w:r>
          </w:p>
        </w:tc>
        <w:tc>
          <w:tcPr/>
          <w:p>
            <w:r>
              <w:rPr>
                <w:b/>
              </w:rPr>
              <w:t>Мес. 12</w:t>
            </w:r>
          </w:p>
        </w:tc>
      </w:tr>
      <w:tr>
        <w:tc>
          <w:tcPr/>
          <w:p>
            <w:r>
              <w:t>Выручка</w:t>
            </w:r>
          </w:p>
        </w:tc>
        <w:tc>
          <w:tcPr/>
          <w:p>
            <w:r>
              <w:t>117 500 000</w:t>
            </w:r>
          </w:p>
        </w:tc>
        <w:tc>
          <w:tcPr/>
          <w:p>
            <w:r>
              <w:t>183 300 000</w:t>
            </w:r>
          </w:p>
        </w:tc>
        <w:tc>
          <w:tcPr/>
          <w:p>
            <w:r>
              <w:t>235 000 000</w:t>
            </w:r>
          </w:p>
        </w:tc>
        <w:tc>
          <w:tcPr/>
          <w:p>
            <w:r>
              <w:t>252 435 795</w:t>
            </w:r>
          </w:p>
        </w:tc>
      </w:tr>
      <w:tr>
        <w:tc>
          <w:tcPr/>
          <w:p>
            <w:r>
              <w:t>Чистая прибыль</w:t>
            </w:r>
          </w:p>
        </w:tc>
        <w:tc>
          <w:tcPr/>
          <w:p>
            <w:r>
              <w:t>−81 358 333</w:t>
            </w:r>
          </w:p>
        </w:tc>
        <w:tc>
          <w:tcPr/>
          <w:p>
            <w:r>
              <w:t>−26 898 333</w:t>
            </w:r>
          </w:p>
        </w:tc>
        <w:tc>
          <w:tcPr/>
          <w:p>
            <w:r>
              <w:t>13 507 917</w:t>
            </w:r>
          </w:p>
        </w:tc>
        <w:tc>
          <w:tcPr/>
          <w:p>
            <w:r>
              <w:t>28 111 684</w:t>
            </w:r>
          </w:p>
        </w:tc>
      </w:tr>
      <w:tr>
        <w:tc>
          <w:tcPr/>
          <w:p>
            <w:r>
              <w:t>Остаток денежных средств на конец периода</w:t>
            </w:r>
          </w:p>
        </w:tc>
        <w:tc>
          <w:tcPr/>
          <w:p>
            <w:r>
              <w:t>141 055 000</w:t>
            </w:r>
          </w:p>
        </w:tc>
        <w:tc>
          <w:tcPr/>
          <w:p>
            <w:r>
              <w:t>23 790 000</w:t>
            </w:r>
          </w:p>
        </w:tc>
        <w:tc>
          <w:tcPr/>
          <w:p>
            <w:r>
              <w:t>26 816 250</w:t>
            </w:r>
          </w:p>
        </w:tc>
        <w:tc>
          <w:tcPr/>
          <w:p>
            <w:r>
              <w:t>50 453 715</w:t>
            </w:r>
          </w:p>
        </w:tc>
      </w:tr>
    </w:tbl>
    <w:p>
      <w:r>
        <w:rPr>
          <w:rStyle w:val="CkCaption"/>
          <w:i/>
        </w:rPr>
        <w:t>Денежный поток остаётся положительным весь Год 1 при условии, что собственный капитал инициатора действительно покрывает не только основные средства, но и нарастание дебиторской задолженности и запасов на период выхода на мощность (см. смету выше).</w:t>
      </w:r>
    </w:p>
    <w:p>
      <w:r>
        <w:rPr>
          <w:b/>
        </w:rPr>
        <w:t>Точка безубыточности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Показатель</w:t>
            </w:r>
          </w:p>
        </w:tc>
        <w:tc>
          <w:tcPr/>
          <w:p>
            <w:r>
              <w:rPr>
                <w:b/>
              </w:rPr>
              <w:t>Значение</w:t>
            </w:r>
          </w:p>
        </w:tc>
      </w:tr>
      <w:tr>
        <w:tc>
          <w:tcPr/>
          <w:p>
            <w:r>
              <w:t>Маржинальная рентабельность (вклад на покрытие)</w:t>
            </w:r>
          </w:p>
        </w:tc>
        <w:tc>
          <w:tcPr/>
          <w:p>
            <w:r>
              <w:t>82,8%</w:t>
            </w:r>
          </w:p>
        </w:tc>
      </w:tr>
      <w:tr>
        <w:tc>
          <w:tcPr/>
          <w:p>
            <w:r>
              <w:t>Постоянные затраты, сум/мес</w:t>
            </w:r>
          </w:p>
        </w:tc>
        <w:tc>
          <w:tcPr/>
          <w:p>
            <w:r>
              <w:t>155 508 333</w:t>
            </w:r>
          </w:p>
        </w:tc>
      </w:tr>
      <w:tr>
        <w:tc>
          <w:tcPr/>
          <w:p>
            <w:r>
              <w:t>Точка безубыточности по выручке, сум/мес</w:t>
            </w:r>
          </w:p>
        </w:tc>
        <w:tc>
          <w:tcPr/>
          <w:p>
            <w:r>
              <w:t>187 889 246</w:t>
            </w:r>
          </w:p>
        </w:tc>
      </w:tr>
      <w:tr>
        <w:tc>
          <w:tcPr/>
          <w:p>
            <w:r>
              <w:t>Точка безубыточности, % от проектной мощности</w:t>
            </w:r>
          </w:p>
        </w:tc>
        <w:tc>
          <w:tcPr/>
          <w:p>
            <w:r>
              <w:t>80,0%</w:t>
            </w:r>
          </w:p>
        </w:tc>
      </w:tr>
    </w:tbl>
    <w:p>
      <w:r>
        <w:rPr>
          <w:b/>
        </w:rPr>
        <w:t>Срок окупаемости и эффективность</w:t>
      </w:r>
    </w:p>
    <w:p>
      <w:r>
        <w:t>Срок окупаемости полной стоимости проекта (1 566 205 000 сум) по чистой прибыли на уровне проектной мощности (≈28 111 684 сум/мес к 12-му месяцу) — около 56 месяцев.</w:t>
      </w:r>
    </w:p>
    <w:p>
      <w:r>
        <w:rPr>
          <w:rStyle w:val="CkCaption"/>
          <w:i/>
        </w:rPr>
        <w:t>NPV и IRR в приложенном Excel-файле рассчитаны только за Год 1 проекта (12 месяцев) — в течение этого периода компания обычно ещё не успевает полностью окупить стартовые вложения. IRR за 12 месяцев математически не определяется, когда денежный поток года ещё не покрывает инвестиции (лист «NPV и IRR» показывает «н/д» в этом случае) — это ожидаемо для капиталоёмких проектов и не является ошибкой расчёта. Для реальной заявки в банк расширьте период анализа на нужное количество лет.</w:t>
      </w:r>
    </w:p>
    <w:p>
      <w:r>
        <w:t>[Впишите] Пересчитайте все показатели этого раздела на основе цен, ставок аренды/зарплат и объёмов продаж вашего проекта в вашем регионе — они автоматически обновятся и в приложенном Excel-файле.</w:t>
      </w:r>
    </w:p>
    <w:p>
      <w:pPr>
        <w:pStyle w:val="Heading2"/>
        <ck:id v="risks"/>
      </w:pPr>
      <w:bookmarkStart w:id="13" w:name="risks"/>
      <w:r>
        <w:t>Оценка рисков</w:t>
      </w:r>
      <w:bookmarkEnd w:id="13"/>
    </w:p>
    <w:p>
      <w:r>
        <w:rPr>
          <w:rStyle w:val="CkCaption"/>
          <w:i/>
        </w:rPr>
        <w:t>Веса ниже отражают ОТНОСИТЕЛЬНУЮ значимость рисков друг относительно друга (в сумме — 100%), а не вероятность в процентах; оценка — экспертная, по шкале от 1 (низкий риск) до 5 (высокий риск).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Риск</w:t>
            </w:r>
          </w:p>
        </w:tc>
        <w:tc>
          <w:tcPr/>
          <w:p>
            <w:r>
              <w:rPr>
                <w:b/>
              </w:rPr>
              <w:t>Вес, %</w:t>
            </w:r>
          </w:p>
        </w:tc>
        <w:tc>
          <w:tcPr/>
          <w:p>
            <w:r>
              <w:rPr>
                <w:b/>
              </w:rPr>
              <w:t>Оценка (1-5)</w:t>
            </w:r>
          </w:p>
        </w:tc>
        <w:tc>
          <w:tcPr/>
          <w:p>
            <w:r>
              <w:rPr>
                <w:b/>
              </w:rPr>
              <w:t>Взвешенный балл</w:t>
            </w:r>
          </w:p>
        </w:tc>
        <w:tc>
          <w:tcPr/>
          <w:p>
            <w:r>
              <w:rPr>
                <w:b/>
              </w:rPr>
              <w:t>Меры снижения</w:t>
            </w:r>
          </w:p>
        </w:tc>
      </w:tr>
      <w:tr>
        <w:tc>
          <w:tcPr/>
          <w:p>
            <w:r>
              <w:t>Простой техники/склада при недозагрузке</w:t>
            </w:r>
          </w:p>
        </w:tc>
        <w:tc>
          <w:tcPr/>
          <w:p>
            <w:r>
              <w:t>20%</w:t>
            </w:r>
          </w:p>
        </w:tc>
        <w:tc>
          <w:tcPr/>
          <w:p>
            <w:r>
              <w:t>4</w:t>
            </w:r>
          </w:p>
        </w:tc>
        <w:tc>
          <w:tcPr/>
          <w:p>
            <w:r>
              <w:t>0,80</w:t>
            </w:r>
          </w:p>
        </w:tc>
        <w:tc>
          <w:tcPr/>
          <w:p>
            <w:r>
              <w:t>Долгосрочные контракты-якоря с 2-3 крупными клиентами на старте, гибкие тарифы под сезонность</w:t>
            </w:r>
          </w:p>
        </w:tc>
      </w:tr>
      <w:tr>
        <w:tc>
          <w:tcPr/>
          <w:p>
            <w:r>
              <w:t>Рост цен на топливо и запчасти для техники</w:t>
            </w:r>
          </w:p>
        </w:tc>
        <w:tc>
          <w:tcPr/>
          <w:p>
            <w:r>
              <w:t>15%</w:t>
            </w:r>
          </w:p>
        </w:tc>
        <w:tc>
          <w:tcPr/>
          <w:p>
            <w:r>
              <w:t>3</w:t>
            </w:r>
          </w:p>
        </w:tc>
        <w:tc>
          <w:tcPr/>
          <w:p>
            <w:r>
              <w:t>0,45</w:t>
            </w:r>
          </w:p>
        </w:tc>
        <w:tc>
          <w:tcPr/>
          <w:p>
            <w:r>
              <w:t>Топливные карты, оптимизация маршрутов, плановое ТО для снижения простоев</w:t>
            </w:r>
          </w:p>
        </w:tc>
      </w:tr>
      <w:tr>
        <w:tc>
          <w:tcPr/>
          <w:p>
            <w:r>
              <w:t>Порча скоропортящегося груза при сбое холодильной цепи</w:t>
            </w:r>
          </w:p>
        </w:tc>
        <w:tc>
          <w:tcPr/>
          <w:p>
            <w:r>
              <w:t>20%</w:t>
            </w:r>
          </w:p>
        </w:tc>
        <w:tc>
          <w:tcPr/>
          <w:p>
            <w:r>
              <w:t>3</w:t>
            </w:r>
          </w:p>
        </w:tc>
        <w:tc>
          <w:tcPr/>
          <w:p>
            <w:r>
              <w:t>0,60</w:t>
            </w:r>
          </w:p>
        </w:tc>
        <w:tc>
          <w:tcPr/>
          <w:p>
            <w:r>
              <w:t>Резервное электропитание для холодильных камер, страхование груза, мониторинг температуры</w:t>
            </w:r>
          </w:p>
        </w:tc>
      </w:tr>
      <w:tr>
        <w:tc>
          <w:tcPr/>
          <w:p>
            <w:r>
              <w:t>Изменение таможенных правил и процедур на границе</w:t>
            </w:r>
          </w:p>
        </w:tc>
        <w:tc>
          <w:tcPr/>
          <w:p>
            <w:r>
              <w:t>15%</w:t>
            </w:r>
          </w:p>
        </w:tc>
        <w:tc>
          <w:tcPr/>
          <w:p>
            <w:r>
              <w:t>2</w:t>
            </w:r>
          </w:p>
        </w:tc>
        <w:tc>
          <w:tcPr/>
          <w:p>
            <w:r>
              <w:t>0,30</w:t>
            </w:r>
          </w:p>
        </w:tc>
        <w:tc>
          <w:tcPr/>
          <w:p>
            <w:r>
              <w:t>Мониторинг регуляторики, работа с лицензированными таможенными брокерами</w:t>
            </w:r>
          </w:p>
        </w:tc>
      </w:tr>
      <w:tr>
        <w:tc>
          <w:tcPr/>
          <w:p>
            <w:r>
              <w:t>Низкая пропускная способность пограничных/таможенных пунктов</w:t>
            </w:r>
          </w:p>
        </w:tc>
        <w:tc>
          <w:tcPr/>
          <w:p>
            <w:r>
              <w:t>15%</w:t>
            </w:r>
          </w:p>
        </w:tc>
        <w:tc>
          <w:tcPr/>
          <w:p>
            <w:r>
              <w:t>2</w:t>
            </w:r>
          </w:p>
        </w:tc>
        <w:tc>
          <w:tcPr/>
          <w:p>
            <w:r>
              <w:t>0,30</w:t>
            </w:r>
          </w:p>
        </w:tc>
        <w:tc>
          <w:tcPr/>
          <w:p>
            <w:r>
              <w:t>Резервные маршруты и пункты пропуска, заблаговременное оформление документов</w:t>
            </w:r>
          </w:p>
        </w:tc>
      </w:tr>
      <w:tr>
        <w:tc>
          <w:tcPr/>
          <w:p>
            <w:r>
              <w:t>Дефицит квалифицированных водителей и складского персонала</w:t>
            </w:r>
          </w:p>
        </w:tc>
        <w:tc>
          <w:tcPr/>
          <w:p>
            <w:r>
              <w:t>15%</w:t>
            </w:r>
          </w:p>
        </w:tc>
        <w:tc>
          <w:tcPr/>
          <w:p>
            <w:r>
              <w:t>2</w:t>
            </w:r>
          </w:p>
        </w:tc>
        <w:tc>
          <w:tcPr/>
          <w:p>
            <w:r>
              <w:t>0,30</w:t>
            </w:r>
          </w:p>
        </w:tc>
        <w:tc>
          <w:tcPr/>
          <w:p>
            <w:r>
              <w:t>Конкурентная оплата труда, обучение на месте, партнёрство с автотранспортными колледжами</w:t>
            </w:r>
          </w:p>
        </w:tc>
      </w:tr>
      <w:tr>
        <w:tc>
          <w:tcPr/>
          <w:p>
            <w:r>
              <w:rPr>
                <w:b/>
              </w:rPr>
              <w:t>ИТОГО</w:t>
            </w:r>
          </w:p>
        </w:tc>
        <w:tc>
          <w:tcPr/>
          <w:p>
            <w:r>
              <w:rPr>
                <w:b/>
              </w:rPr>
              <w:t>100%</w:t>
            </w:r>
          </w:p>
        </w:tc>
        <w:tc>
          <w:tcPr/>
          <w:p/>
        </w:tc>
        <w:tc>
          <w:tcPr/>
          <w:p>
            <w:r>
              <w:rPr>
                <w:b/>
              </w:rPr>
              <w:t>2,75 из 5</w:t>
            </w:r>
          </w:p>
        </w:tc>
        <w:tc>
          <w:tcPr/>
          <w:p/>
        </w:tc>
      </w:tr>
    </w:tbl>
    <w:p>
      <w:r>
        <w:t>Итоговая взвешенная оценка (2,75 из 5) отражает экспертную оценку совокупного уровня риска проекта.</w:t>
      </w:r>
    </w:p>
    <w:p>
      <w:r>
        <w:t>[Впишите] Дополните таблицу своими рисками, специфичными для вашего проекта и региона, и пересчитайте веса.</w:t>
      </w:r>
    </w:p>
    <w:p>
      <w:pPr>
        <w:pStyle w:val="Heading2"/>
        <ck:id v="conclusion"/>
      </w:pPr>
      <w:bookmarkStart w:id="14" w:name="conclusion"/>
      <w:r>
        <w:t>Заключение</w:t>
      </w:r>
      <w:bookmarkEnd w:id="14"/>
    </w:p>
    <w:p>
      <w:r>
        <w:t>[Впишите] Краткий вывод: почему проект целесообразен, какую пользу он приносит региону/отрасли, и какое решение вы просите у банка/инвестора.</w:t>
      </w:r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Проект закрывает отмечаемый отраслевыми обзорами дефицит современных холодильных складов класса «А» в Ташкентской области, создаёт 7 рабочих мест и снижает потери агроэкспортной продукции за счёт холодной цепи.</w:t>
                </w:r>
              </w:p>
            </w:tc>
          </w:tr>
        </w:tbl>
      </w:sdtContent>
    </w:sdt>
    <w:sectPr>
      <ck:section v="1:||margins=1.1in,size=letter"/>
      <w:footerReference w:type="default" r:id="rIdHf1"/>
      <w:pgSz w:w="12240" w:h="15840"/>
      <w:pgMar w:top="1584" w:right="1584" w:bottom="1584" w:left="1584" w:header="720" w:footer="720" w:gutter="0"/>
    </w:sectPr>
  </w:body>
</w:document>
</file>

<file path=word/fontTable.xml><?xml version="1.0" encoding="utf-8"?>
<w:fonts xmlns:w="http://schemas.openxmlformats.org/wordprocessingml/2006/main">
  <w:font w:name="Cambria">
    <w:family w:val="roman"/>
  </w:font>
  <w:font w:name="Consolas">
    <w:family w:val="modern"/>
  </w:font>
</w:fonts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="http://schemas.openxmlformats.org/officeDocument/2006/math" xmlns:mc="http://schemas.openxmlformats.org/markup-compatibility/2006" xmlns:ck="urn:clarkdown:docx" mc:Ignorable="ck">
  <w:sdt>
    <w:sdtPr>
      <w:tag w:val="clarkdown:div"/>
      <ck:div v="||text-align=center"/>
    </w:sdtPr>
    <w:sdtContent>
      <w:p>
        <w:pPr>
          <w:jc w:val="center"/>
        </w:pPr>
        <w:r>
          <w:t xml:space="preserve">MoliyaHub · </w:t>
        </w:r>
        <w:fldSimple w:instr="PAGE">
          <w:r>
            <w:t>1</w:t>
          </w:r>
        </w:fldSimple>
      </w:p>
    </w:sdtContent>
  </w:sdt>
</w:ftr>
</file>

<file path=word/numbering.xml><?xml version="1.0" encoding="utf-8"?>
<w:numbering xmlns:w="http://schemas.openxmlformats.org/wordprocessingml/2006/main">
  <w:abstractNum w:abstractNumId="1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1."/>
      <w:lvlJc w:val="left"/>
      <w:pPr>
        <w:ind w:left="2880" w:hanging="360"/>
      </w:pPr>
    </w:lvl>
    <w:lvl w:ilvl="4">
      <w:start w:val="1"/>
      <w:numFmt w:val="decimal"/>
      <w:lvlText w:val="%2."/>
      <w:lvlJc w:val="left"/>
      <w:pPr>
        <w:ind w:left="3600" w:hanging="360"/>
      </w:pPr>
    </w:lvl>
    <w:lvl w:ilvl="5">
      <w:start w:val="1"/>
      <w:numFmt w:val="decimal"/>
      <w:lvlText w:val="%3."/>
      <w:lvlJc w:val="left"/>
      <w:pPr>
        <w:ind w:left="4320" w:hanging="360"/>
      </w:pPr>
    </w:lvl>
    <w:lvl w:ilvl="6">
      <w:start w:val="1"/>
      <w:numFmt w:val="decimal"/>
      <w:lvlText w:val="%1."/>
      <w:lvlJc w:val="left"/>
      <w:pPr>
        <w:ind w:left="5040" w:hanging="360"/>
      </w:pPr>
    </w:lvl>
    <w:lvl w:ilvl="7">
      <w:start w:val="1"/>
      <w:numFmt w:val="decimal"/>
      <w:lvlText w:val="%2."/>
      <w:lvlJc w:val="left"/>
      <w:pPr>
        <w:ind w:left="5760" w:hanging="360"/>
      </w:pPr>
    </w:lvl>
    <w:lvl w:ilvl="8">
      <w:start w:val="1"/>
      <w:numFmt w:val="decimal"/>
      <w:lvlText w:val="%3."/>
      <w:lvlJc w:val="left"/>
      <w:pPr>
        <w:ind w:left="6480" w:hanging="360"/>
      </w:pPr>
    </w:lvl>
  </w:abstractNum>
  <w:abstractNum w:abstractNumId="3">
    <w:multiLevelType w:val="hybridMultilevel"/>
    <w:lvl w:ilvl="0">
      <w:start w:val="1"/>
      <w:numFmt w:val="bullet"/>
      <w:lvlText w:val="☐"/>
      <w:lvlJc w:val="left"/>
      <w:pPr>
        <w:ind w:left="720" w:hanging="360"/>
      </w:pPr>
    </w:lvl>
    <w:lvl w:ilvl="1">
      <w:start w:val="1"/>
      <w:numFmt w:val="bullet"/>
      <w:lvlText w:val="☐"/>
      <w:lvlJc w:val="left"/>
      <w:pPr>
        <w:ind w:left="1440" w:hanging="360"/>
      </w:pPr>
    </w:lvl>
    <w:lvl w:ilvl="2">
      <w:start w:val="1"/>
      <w:numFmt w:val="bullet"/>
      <w:lvlText w:val="☐"/>
      <w:lvlJc w:val="left"/>
      <w:pPr>
        <w:ind w:left="2160" w:hanging="360"/>
      </w:pPr>
    </w:lvl>
    <w:lvl w:ilvl="3">
      <w:start w:val="1"/>
      <w:numFmt w:val="bullet"/>
      <w:lvlText w:val="☐"/>
      <w:lvlJc w:val="left"/>
      <w:pPr>
        <w:ind w:left="2880" w:hanging="360"/>
      </w:pPr>
    </w:lvl>
    <w:lvl w:ilvl="4">
      <w:start w:val="1"/>
      <w:numFmt w:val="bullet"/>
      <w:lvlText w:val="☐"/>
      <w:lvlJc w:val="left"/>
      <w:pPr>
        <w:ind w:left="3600" w:hanging="360"/>
      </w:pPr>
    </w:lvl>
    <w:lvl w:ilvl="5">
      <w:start w:val="1"/>
      <w:numFmt w:val="bullet"/>
      <w:lvlText w:val="☐"/>
      <w:lvlJc w:val="left"/>
      <w:pPr>
        <w:ind w:left="4320" w:hanging="360"/>
      </w:pPr>
    </w:lvl>
    <w:lvl w:ilvl="6">
      <w:start w:val="1"/>
      <w:numFmt w:val="bullet"/>
      <w:lvlText w:val="☐"/>
      <w:lvlJc w:val="left"/>
      <w:pPr>
        <w:ind w:left="5040" w:hanging="360"/>
      </w:pPr>
    </w:lvl>
    <w:lvl w:ilvl="7">
      <w:start w:val="1"/>
      <w:numFmt w:val="bullet"/>
      <w:lvlText w:val="☐"/>
      <w:lvlJc w:val="left"/>
      <w:pPr>
        <w:ind w:left="5760" w:hanging="360"/>
      </w:pPr>
    </w:lvl>
    <w:lvl w:ilvl="8">
      <w:start w:val="1"/>
      <w:numFmt w:val="bullet"/>
      <w:lvlText w:val="☐"/>
      <w:lvlJc w:val="left"/>
      <w:pPr>
        <w:ind w:left="6480" w:hanging="360"/>
      </w:pPr>
    </w:lvl>
  </w:abstractNum>
  <w:abstractNum w:abstractNumId="4">
    <w:multiLevelType w:val="hybridMultilevel"/>
    <w:lvl w:ilvl="0">
      <w:start w:val="1"/>
      <w:numFmt w:val="bullet"/>
      <w:lvlText w:val="☑"/>
      <w:lvlJc w:val="left"/>
      <w:pPr>
        <w:ind w:left="720" w:hanging="360"/>
      </w:pPr>
    </w:lvl>
    <w:lvl w:ilvl="1">
      <w:start w:val="1"/>
      <w:numFmt w:val="bullet"/>
      <w:lvlText w:val="☑"/>
      <w:lvlJc w:val="left"/>
      <w:pPr>
        <w:ind w:left="1440" w:hanging="360"/>
      </w:pPr>
    </w:lvl>
    <w:lvl w:ilvl="2">
      <w:start w:val="1"/>
      <w:numFmt w:val="bullet"/>
      <w:lvlText w:val="☑"/>
      <w:lvlJc w:val="left"/>
      <w:pPr>
        <w:ind w:left="2160" w:hanging="360"/>
      </w:pPr>
    </w:lvl>
    <w:lvl w:ilvl="3">
      <w:start w:val="1"/>
      <w:numFmt w:val="bullet"/>
      <w:lvlText w:val="☑"/>
      <w:lvlJc w:val="left"/>
      <w:pPr>
        <w:ind w:left="2880" w:hanging="360"/>
      </w:pPr>
    </w:lvl>
    <w:lvl w:ilvl="4">
      <w:start w:val="1"/>
      <w:numFmt w:val="bullet"/>
      <w:lvlText w:val="☑"/>
      <w:lvlJc w:val="left"/>
      <w:pPr>
        <w:ind w:left="3600" w:hanging="360"/>
      </w:pPr>
    </w:lvl>
    <w:lvl w:ilvl="5">
      <w:start w:val="1"/>
      <w:numFmt w:val="bullet"/>
      <w:lvlText w:val="☑"/>
      <w:lvlJc w:val="left"/>
      <w:pPr>
        <w:ind w:left="4320" w:hanging="360"/>
      </w:pPr>
    </w:lvl>
    <w:lvl w:ilvl="6">
      <w:start w:val="1"/>
      <w:numFmt w:val="bullet"/>
      <w:lvlText w:val="☑"/>
      <w:lvlJc w:val="left"/>
      <w:pPr>
        <w:ind w:left="5040" w:hanging="360"/>
      </w:pPr>
    </w:lvl>
    <w:lvl w:ilvl="7">
      <w:start w:val="1"/>
      <w:numFmt w:val="bullet"/>
      <w:lvlText w:val="☑"/>
      <w:lvlJc w:val="left"/>
      <w:pPr>
        <w:ind w:left="5760" w:hanging="360"/>
      </w:pPr>
    </w:lvl>
    <w:lvl w:ilvl="8">
      <w:start w:val="1"/>
      <w:numFmt w:val="bullet"/>
      <w:lvlText w:val="☑"/>
      <w:lvlJc w:val="left"/>
      <w:pPr>
        <w:ind w:left="648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mbria" w:hAnsi="Cambria" w:cs="Cambria"/>
        <w:sz w:val="22"/>
        <w:szCs w:val="22"/>
        <w:lang w:val="en-US"/>
      </w:rPr>
    </w:rPrDefault>
    <w:pPrDefault>
      <w:pPr>
        <w:spacing w:after="160" w:line="312" w:lineRule="auto"/>
      </w:pPr>
    </w:pPrDefault>
  </w:docDefaults>
  <w:style w:type="paragraph" w:styleId="Normal" w:default="1">
    <w:name w:val="Normal"/>
  </w:style>
  <w:style w:type="paragraph" w:styleId="Heading1" w:default="0">
    <w:name w:val="heading 1"/>
    <w:basedOn w:val="Normal"/>
    <w:next w:val="Normal"/>
    <w:pPr>
      <w:keepNext/>
      <w:keepLines/>
      <w:spacing w:before="320" w:line="264" w:lineRule="auto"/>
      <w:outlineLvl w:val="0"/>
    </w:pPr>
    <w:rPr>
      <w:rFonts w:ascii="Cambria" w:hAnsi="Cambria"/>
      <w:b/>
      <w:color w:val="1A1A1A"/>
      <w:sz w:val="38"/>
      <w:szCs w:val="38"/>
    </w:rPr>
  </w:style>
  <w:style w:type="paragraph" w:styleId="Heading2" w:default="0">
    <w:name w:val="heading 2"/>
    <w:basedOn w:val="Normal"/>
    <w:next w:val="Normal"/>
    <w:pPr>
      <w:keepNext/>
      <w:keepLines/>
      <w:spacing w:before="320" w:line="264" w:lineRule="auto"/>
      <w:outlineLvl w:val="1"/>
    </w:pPr>
    <w:rPr>
      <w:rFonts w:ascii="Cambria" w:hAnsi="Cambria"/>
      <w:b/>
      <w:sz w:val="32"/>
      <w:szCs w:val="32"/>
    </w:rPr>
  </w:style>
  <w:style w:type="paragraph" w:styleId="Heading3" w:default="0">
    <w:name w:val="heading 3"/>
    <w:basedOn w:val="Normal"/>
    <w:next w:val="Normal"/>
    <w:pPr>
      <w:keepNext/>
      <w:keepLines/>
      <w:spacing w:before="160" w:line="264" w:lineRule="auto"/>
      <w:outlineLvl w:val="2"/>
    </w:pPr>
    <w:rPr>
      <w:rFonts w:ascii="Cambria" w:hAnsi="Cambria"/>
      <w:b/>
      <w:sz w:val="26"/>
      <w:szCs w:val="26"/>
    </w:rPr>
  </w:style>
  <w:style w:type="paragraph" w:styleId="Heading4" w:default="0">
    <w:name w:val="heading 4"/>
    <w:basedOn w:val="Normal"/>
    <w:next w:val="Normal"/>
    <w:pPr>
      <w:keepNext/>
      <w:keepLines/>
      <w:spacing w:before="160" w:line="264" w:lineRule="auto"/>
      <w:outlineLvl w:val="3"/>
    </w:pPr>
    <w:rPr>
      <w:rFonts w:ascii="Cambria" w:hAnsi="Cambria"/>
      <w:b/>
      <w:sz w:val="22"/>
      <w:szCs w:val="22"/>
    </w:rPr>
  </w:style>
  <w:style w:type="paragraph" w:styleId="Heading5" w:default="0">
    <w:name w:val="heading 5"/>
    <w:basedOn w:val="Normal"/>
    <w:next w:val="Normal"/>
    <w:pPr>
      <w:keepNext/>
      <w:keepLines/>
      <w:spacing w:before="160" w:line="264" w:lineRule="auto"/>
      <w:outlineLvl w:val="4"/>
    </w:pPr>
    <w:rPr>
      <w:rFonts w:ascii="Cambria" w:hAnsi="Cambria"/>
      <w:b/>
      <w:sz w:val="22"/>
      <w:szCs w:val="22"/>
    </w:rPr>
  </w:style>
  <w:style w:type="paragraph" w:styleId="Heading6" w:default="0">
    <w:name w:val="heading 6"/>
    <w:basedOn w:val="Normal"/>
    <w:next w:val="Normal"/>
    <w:pPr>
      <w:keepNext/>
      <w:keepLines/>
      <w:spacing w:before="160" w:line="264" w:lineRule="auto"/>
      <w:outlineLvl w:val="5"/>
    </w:pPr>
    <w:rPr>
      <w:rFonts w:ascii="Cambria" w:hAnsi="Cambria"/>
      <w:b/>
      <w:sz w:val="22"/>
      <w:szCs w:val="22"/>
    </w:rPr>
  </w:style>
  <w:style w:type="paragraph" w:styleId="Quote" w:default="0">
    <w:name w:val="Quote"/>
    <w:basedOn w:val="Normal"/>
    <w:pPr>
      <w:ind w:left="320"/>
      <w:pBdr>
        <w:left w:val="single" w:sz="24" w:space="12" w:color="BFBFBF"/>
      </w:pBdr>
    </w:pPr>
    <w:rPr>
      <w:i/>
      <w:color w:val="595959"/>
    </w:rPr>
  </w:style>
  <w:style w:type="character" w:styleId="CkHighlight">
    <w:name w:val="Clarkdown Highlight"/>
    <w:rPr>
      <w:shd w:val="clear" w:fill="FFF2A8"/>
    </w:rPr>
  </w:style>
  <w:style w:type="character" w:styleId="CkSmallcaps">
    <w:name w:val="Clarkdown Smallcaps"/>
    <w:rPr>
      <w:smallCaps/>
    </w:rPr>
  </w:style>
  <w:style w:type="character" w:styleId="CkUnderline">
    <w:name w:val="Clarkdown Underline"/>
    <w:rPr>
      <w:u w:val="single"/>
    </w:rPr>
  </w:style>
  <w:style w:type="character" w:styleId="CkMuted">
    <w:name w:val="Clarkdown Muted"/>
    <w:rPr>
      <w:color w:val="595959"/>
    </w:rPr>
  </w:style>
  <w:style w:type="character" w:styleId="CkAccent">
    <w:name w:val="Clarkdown Accent"/>
    <w:rPr>
      <w:color w:val="1A1A1A"/>
    </w:rPr>
  </w:style>
  <w:style w:type="character" w:styleId="CkCaption">
    <w:name w:val="Clarkdown Caption"/>
    <w:rPr>
      <w:i/>
      <w:color w:val="595959"/>
      <w:sz w:val="20"/>
      <w:szCs w:val="20"/>
    </w:rPr>
  </w:style>
  <w:style w:type="paragraph" w:styleId="CkDisplay" w:default="0">
    <w:name w:val="Clarkdown Display"/>
    <w:basedOn w:val="Normal"/>
    <w:next w:val="Normal"/>
    <w:pPr>
      <w:keepNext/>
      <w:keepLines/>
      <w:spacing w:after="240" w:line="264" w:lineRule="auto"/>
    </w:pPr>
    <w:rPr>
      <w:rFonts w:ascii="Cambria" w:hAnsi="Cambria"/>
      <w:b/>
      <w:color w:val="1A1A1A"/>
      <w:sz w:val="132"/>
      <w:szCs w:val="132"/>
    </w:rPr>
  </w:style>
  <w:style w:type="character" w:styleId="CkKicker">
    <w:name w:val="Clarkdown Kicker"/>
    <w:rPr>
      <w:smallCaps/>
      <w:spacing w:val="18"/>
      <w:color w:val="595959"/>
    </w:rPr>
  </w:style>
  <w:style w:type="paragraph" w:styleId="CkTrackedCaps" w:default="0">
    <w:name w:val="Clarkdown Tracked Caps"/>
    <w:basedOn w:val="Normal"/>
    <w:next w:val="Normal"/>
    <w:rPr>
      <w:smallCaps/>
      <w:spacing w:val="18"/>
    </w:rPr>
  </w:style>
  <w:style w:type="paragraph" w:styleId="Title" w:default="0">
    <w:name w:val="Title"/>
    <w:basedOn w:val="Normal"/>
    <w:next w:val="Normal"/>
    <w:pPr>
      <w:keepNext/>
      <w:keepLines/>
      <w:spacing w:after="240" w:line="264" w:lineRule="auto"/>
    </w:pPr>
    <w:rPr>
      <w:rFonts w:ascii="Cambria" w:hAnsi="Cambria"/>
      <w:b/>
      <w:sz w:val="46"/>
      <w:szCs w:val="46"/>
    </w:rPr>
  </w:style>
  <w:style w:type="character" w:styleId="Hyperlink">
    <w:name w:val="Hyperlink"/>
    <w:rPr>
      <w:color w:val="1A1A1A"/>
      <w:u w:val="single"/>
    </w:rPr>
  </w:style>
  <w:style w:type="paragraph" w:styleId="CkCodeBlock" w:default="0">
    <w:name w:val="Clarkdown Code Block"/>
    <w:basedOn w:val="Normal"/>
    <w:pPr>
      <w:shd w:val="clear" w:fill="EDEDED"/>
      <w:spacing w:after="0" w:line="240" w:lineRule="auto"/>
    </w:pPr>
    <w:rPr>
      <w:rFonts w:ascii="Consolas" w:hAnsi="Consolas"/>
      <w:noProof/>
      <w:sz w:val="20"/>
    </w:rPr>
  </w:style>
  <w:style w:type="character" w:styleId="CkCode">
    <w:name w:val="Clarkdown Code"/>
    <w:rPr>
      <w:rFonts w:ascii="Consolas" w:hAnsi="Consolas"/>
      <w:shd w:val="clear" w:fill="EDEDED"/>
      <w:sz w:val="20"/>
    </w:rPr>
  </w:style>
  <w:style w:type="paragraph" w:styleId="Caption" w:default="0">
    <w:name w:val="caption"/>
    <w:basedOn w:val="Normal"/>
    <w:rPr>
      <w:i/>
      <w:sz w:val="18"/>
    </w:rPr>
  </w:style>
  <w:style w:type="paragraph" w:styleId="ListParagraph" w:default="0">
    <w:name w:val="List Paragraph"/>
    <w:basedOn w:val="Normal"/>
    <w:pPr>
      <w:ind w:left="320"/>
    </w:pPr>
  </w:style>
  <w:style w:type="paragraph" w:styleId="CkUnknown" w:default="0">
    <w:name w:val="Clarkdown Unknown"/>
    <w:basedOn w:val="Normal"/>
    <w:pPr>
      <w:shd w:val="clear" w:fill="FFEEEE"/>
    </w:pPr>
  </w:style>
  <w:style w:type="paragraph" w:styleId="FootnoteText" w:default="0">
    <w:name w:val="footnote text"/>
    <w:basedOn w:val="Normal"/>
    <w:rPr>
      <w:sz w:val="18"/>
    </w:rPr>
  </w:style>
  <w:style w:type="character" w:styleId="FootnoteReference">
    <w:name w:val="footnote reference"/>
    <w:rPr>
      <w:vertAlign w:val="superscript"/>
    </w:rPr>
  </w:style>
  <w:style w:type="table" w:styleId="CkTable">
    <w:name w:val="Clarkdown Table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  <w:tblCellMar>
        <w:top w:w="80" w:type="dxa"/>
        <w:left w:w="80" w:type="dxa"/>
        <w:bottom w:w="80" w:type="dxa"/>
        <w:right w:w="80" w:type="dxa"/>
      </w:tblCellMar>
    </w:tblPr>
  </w:style>
  <w:style w:type="table" w:styleId="CkLayout">
    <w:name w:val="Clarkdown Layout"/>
    <w:tblPr>
      <w:tblBorders>
        <w:top w:val="none"/>
        <w:left w:val="none"/>
        <w:bottom w:val="none"/>
        <w:right w:val="none"/>
        <w:insideH w:val="none"/>
        <w:insideV w:val="none"/>
      </w:tblBorders>
    </w:tblPr>
  </w:style>
  <w:style w:type="paragraph" w:styleId="CkNote" w:default="0">
    <w:name w:val="Clarkdown Note"/>
    <w:basedOn w:val="Normal"/>
    <w:pPr>
      <w:pBdr>
        <w:left w:val="single" w:sz="24" w:space="8" w:color="2F6FEB"/>
      </w:pBdr>
      <w:ind w:left="240"/>
    </w:pPr>
  </w:style>
  <w:style w:type="paragraph" w:styleId="CkTip" w:default="0">
    <w:name w:val="Clarkdown Tip"/>
    <w:basedOn w:val="Normal"/>
    <w:pPr>
      <w:pBdr>
        <w:left w:val="single" w:sz="24" w:space="8" w:color="1A7F37"/>
      </w:pBdr>
      <w:ind w:left="240"/>
    </w:pPr>
  </w:style>
  <w:style w:type="paragraph" w:styleId="CkWarning" w:default="0">
    <w:name w:val="Clarkdown Warning"/>
    <w:basedOn w:val="Normal"/>
    <w:pPr>
      <w:pBdr>
        <w:left w:val="single" w:sz="24" w:space="8" w:color="9A6700"/>
      </w:pBdr>
      <w:ind w:left="240"/>
    </w:pPr>
  </w:style>
  <w:style w:type="paragraph" w:styleId="CkImportant" w:default="0">
    <w:name w:val="Clarkdown Important"/>
    <w:basedOn w:val="Normal"/>
    <w:pPr>
      <w:pBdr>
        <w:left w:val="single" w:sz="24" w:space="8" w:color="8250DF"/>
      </w:pBdr>
      <w:ind w:left="240"/>
    </w:pPr>
  </w:style>
  <w:style w:type="paragraph" w:styleId="CkCaution" w:default="0">
    <w:name w:val="Clarkdown Caution"/>
    <w:basedOn w:val="Normal"/>
    <w:pPr>
      <w:pBdr>
        <w:left w:val="single" w:sz="24" w:space="8" w:color="CF222E"/>
      </w:pBdr>
      <w:ind w:left="240"/>
    </w:p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Fonts" Type="http://schemas.openxmlformats.org/officeDocument/2006/relationships/fontTable" Target="fontTable.xml"/><Relationship Id="rIdSettings" Type="http://schemas.openxmlformats.org/officeDocument/2006/relationships/settings" Target="settings.xml"/><Relationship Id="rIdHf1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rkdownFrontMatter">
    <vt:lpwstr>{"kv":{"theme":"serif"},"v":1}</vt:lpwstr>
  </property>
</Properties>
</file>