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«Информационные технологии»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ООО «NextByte Software Studio» реализует проект «Запуск студии разработки мобильных и веб-приложений»: Аутсорсинговая студия мобильной и веб-разработки, резидент IT Park, с фокусом на проекты для европейских и региональных заказчиков. Полная стоимость проекта — 449 171 458 сум, из которых 140 000 000 сум — банковский кредит на 24 месяцев под 22% годовых с льготным периодом 3 месяца(ев), остальное — собственный капитал инициатора. При выходе на проектную мощность выручка составляет 135 000 000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ООО «NextByte Software Studio»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ООО, резидент IT Park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Информационные технологии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регистрация резидентом IT Park, закупка техники и лицензий — месяц 1; (2) запуск сайта-портфолио и лидогенерация, первый проект — месяцы 1-2; (3) выход на загрузку команды 2 параллельными проектами — с 3-4-го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Информационные технологии</w:t>
      </w:r>
      <w:bookmarkEnd w:id="5"/>
    </w:p>
    <w:p>
      <w:pPr>
        <w:pStyle w:val="ListParagraph"/>
        <w:numPr>
          <w:ilvl w:val="0"/>
          <w:numId w:val="1"/>
        </w:numPr>
      </w:pPr>
      <w:r>
        <w:t>IT Park Uzbekistan даёт резидентам налоговые льготы (в т.ч. освобождение от налога на прибыль для компаний-экспортёров с объёмом экспорта свыше $10 млн) — стоит изучить актуальные условия регистрации резидентом (it-park.uz).</w:t>
      </w:r>
    </w:p>
    <w:p>
      <w:pPr>
        <w:pStyle w:val="ListParagraph"/>
        <w:numPr>
          <w:ilvl w:val="0"/>
          <w:numId w:val="1"/>
        </w:numPr>
      </w:pPr>
      <w:r>
        <w:t>Резидентская база IT Park быстро растёт: с начала 2025 года резидентами стали 636 новых компаний; только за 7 месяцев 2025 года присоединились 481 новый экспортёр и 232 иностранные компании — конкуренция за кадры и клиентов усиливается (spot.uz, it-park.uz).</w:t>
      </w:r>
    </w:p>
    <w:p>
      <w:pPr>
        <w:pStyle w:val="ListParagraph"/>
        <w:numPr>
          <w:ilvl w:val="0"/>
          <w:numId w:val="1"/>
        </w:numPr>
      </w:pPr>
      <w:r>
        <w:t>Растёт IT-экспорт из Узбекистана — аутсорсинг разработки для рынков США, ЕС и СНГ остаётся основной моделью для большинства резидентов IT Park, наряду с растущим числом продуктовых/SaaS-компаний.</w:t>
      </w:r>
    </w:p>
    <w:p>
      <w:pPr>
        <w:pStyle w:val="ListParagraph"/>
        <w:numPr>
          <w:ilvl w:val="0"/>
          <w:numId w:val="1"/>
        </w:numPr>
      </w:pPr>
      <w:r>
        <w:t>Дефицит квалифицированных разработчиков создаёт конкуренцию за кадры и давление на зарплаты — при планировании ФОТ стоит ориентироваться на текущий рынок труда.</w:t>
      </w:r>
    </w:p>
    <w:p>
      <w:pPr>
        <w:pStyle w:val="ListParagraph"/>
        <w:numPr>
          <w:ilvl w:val="0"/>
          <w:numId w:val="1"/>
        </w:numPr>
      </w:pPr>
      <w:r>
        <w:t>Для сравнения: Грузия и Армения также активно привлекают IT-компании налоговыми льготами и визовыми режимами и конкурируют с Узбекистаном за мобильные команды разработки на аутсорсе.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«CodeVodiy»</w:t>
                      </w:r>
                    </w:p>
                  </w:tc>
                  <w:tc>
                    <w:tcPr/>
                    <w:p>
                      <w:r>
                        <w:t>аутсорсинговая студия мобильной разработки для европейских клиентов</w:t>
                      </w:r>
                    </w:p>
                  </w:tc>
                  <w:tc>
                    <w:tcPr/>
                    <w:p>
                      <w:r>
                        <w:t>устоявшееся портфолио, резидент IT Park</w:t>
                      </w:r>
                    </w:p>
                  </w:tc>
                  <w:tc>
                    <w:tcPr/>
                    <w:p>
                      <w:r>
                        <w:t>зависимость от 1-2 крупных клиентов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«PixelTashkent Dev»</w:t>
                      </w:r>
                    </w:p>
                  </w:tc>
                  <w:tc>
                    <w:tcPr/>
                    <w:p>
                      <w:r>
                        <w:t>веб- и e-commerce разработка для рынка СНГ</w:t>
                      </w:r>
                    </w:p>
                  </w:tc>
                  <w:tc>
                    <w:tcPr/>
                    <w:p>
                      <w:r>
                        <w:t>низкая цена, быстрая мобилизация команды</w:t>
                      </w:r>
                    </w:p>
                  </w:tc>
                  <w:tc>
                    <w:tcPr/>
                    <w:p>
                      <w:r>
                        <w:t>менее глубокая экспертиза в мобильной разработке</w:t>
                      </w:r>
                    </w:p>
                  </w:tc>
                </w:tr>
                <w:tr>
                  <w:tc>
                    <w:tcPr/>
                    <w:p>
                      <w:r>
                        <w:t>СП «BalticCode Tashkent»</w:t>
                      </w:r>
                    </w:p>
                  </w:tc>
                  <w:tc>
                    <w:tcPr/>
                    <w:p>
                      <w:r>
                        <w:t>СП с прибалтийским партнёром, фокус на fintech-проекты</w:t>
                      </w:r>
                    </w:p>
                  </w:tc>
                  <w:tc>
                    <w:tcPr/>
                    <w:p>
                      <w:r>
                        <w:t>доступ к европейским fintech-клиентам</w:t>
                      </w:r>
                    </w:p>
                  </w:tc>
                  <w:tc>
                    <w:tcPr/>
                    <w:p>
                      <w:r>
                        <w:t>выше себестоимость, узкая специализация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«Andijon SoftLab»</w:t>
                      </w:r>
                    </w:p>
                  </w:tc>
                  <w:tc>
                    <w:tcPr/>
                    <w:p>
                      <w:r>
                        <w:t>региональная студия разработки вне Ташкента</w:t>
                      </w:r>
                    </w:p>
                  </w:tc>
                  <w:tc>
                    <w:tcPr/>
                    <w:p>
                      <w:r>
                        <w:t>более низкие ставки за счёт региона</w:t>
                      </w:r>
                    </w:p>
                  </w:tc>
                  <w:tc>
                    <w:tcPr/>
                    <w:p>
                      <w:r>
                        <w:t>меньше доступа к международным лидам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Цена</w:t>
            </w:r>
          </w:p>
        </w:tc>
        <w:tc>
          <w:tcPr/>
          <w:p>
            <w:r>
              <w:t>модель time &amp; material на 20-30% ниже европейских студий сопоставимого уровня</w:t>
            </w:r>
          </w:p>
        </w:tc>
      </w:tr>
      <w:tr>
        <w:tc>
          <w:tcPr/>
          <w:p>
            <w:r>
              <w:t>Каналы продаж</w:t>
            </w:r>
          </w:p>
        </w:tc>
        <w:tc>
          <w:tcPr/>
          <w:p>
            <w:r>
              <w:t>профиль на Clutch/Upwork, портфолио кейсов, партнёрство с 1-2 зарубежными IT-агентствами</w:t>
            </w:r>
          </w:p>
        </w:tc>
      </w:tr>
      <w:tr>
        <w:tc>
          <w:tcPr/>
          <w:p>
            <w:r>
              <w:t>Диверсификация выручки</w:t>
            </w:r>
          </w:p>
        </w:tc>
        <w:tc>
          <w:tcPr/>
          <w:p>
            <w:r>
              <w:t>проекты по договорам + SaaS-подписка + поддержка + консалтинг — 4 источника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Европейские и региональные заказчики мобильной и веб-разработки (стартапы и SMB), ищущие качественную разработку по ставке ниже локальных студий ЕС; для них важны портфолио, прозрачный процесс (Scrum) и англоязычная коммуникация.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по модели time &amp; material, на 20-30% ниже европейских студий сопоставимого уровня; продвижение — профиль на Clutch/Upwork, портфолио кейсов, партнёрство с 1-2 зарубежными IT-агентствами для субподряда на первых проектах.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Тимлид, 4 разработчика и QA-инженер (производственный/billable персонал), менеджер проекта на part-time (административный блок). Форма — ООО, резидент IT Park.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Тимлид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18 000 000</w:t>
            </w:r>
          </w:p>
        </w:tc>
        <w:tc>
          <w:tcPr/>
          <w:p>
            <w:r>
              <w:t>18 000 000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Разработчики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13 000 000</w:t>
            </w:r>
          </w:p>
        </w:tc>
        <w:tc>
          <w:tcPr/>
          <w:p>
            <w:r>
              <w:t>52 000 000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QA-инженер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9 000 000</w:t>
            </w:r>
          </w:p>
        </w:tc>
        <w:tc>
          <w:tcPr/>
          <w:p>
            <w:r>
              <w:t>9 000 000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Менеджер проекта (part-time)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7 000 000</w:t>
            </w:r>
          </w:p>
        </w:tc>
        <w:tc>
          <w:tcPr/>
          <w:p>
            <w:r>
              <w:t>7 000 000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7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86 000 000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10 320 000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96 320 000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Рабочие станции и техника</w:t>
            </w:r>
          </w:p>
        </w:tc>
        <w:tc>
          <w:tcPr/>
          <w:p>
            <w:r>
              <w:t>140 000 000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Регистрация резидента IT Park</w:t>
            </w:r>
          </w:p>
        </w:tc>
        <w:tc>
          <w:tcPr/>
          <w:p>
            <w:r>
              <w:t>12 000 000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Лицензии на ПО и инструменты разработки</w:t>
            </w:r>
          </w:p>
        </w:tc>
        <w:tc>
          <w:tcPr/>
          <w:p>
            <w:r>
              <w:t>20 000 000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Сайт / портфолио</w:t>
            </w:r>
          </w:p>
        </w:tc>
        <w:tc>
          <w:tcPr/>
          <w:p>
            <w:r>
              <w:t>12 000 000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Первый маркетинговый бюджет</w:t>
            </w:r>
          </w:p>
        </w:tc>
        <w:tc>
          <w:tcPr/>
          <w:p>
            <w:r>
              <w:t>20 000 000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Финансирование дебиторской задолженности и запасов на период выхода на плановую мощность</w:t>
            </w:r>
          </w:p>
        </w:tc>
        <w:tc>
          <w:tcPr/>
          <w:p>
            <w:r>
              <w:t>245 171 458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140 000 000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309 171 458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449 171 458</w:t>
            </w:r>
          </w:p>
        </w:tc>
        <w:tc>
          <w:tcPr/>
          <w:p/>
        </w:tc>
      </w:tr>
    </w:tbl>
    <w:p>
      <w:r>
        <w:rPr>
          <w:rStyle w:val="CkCaption"/>
          <w:i/>
        </w:rPr>
        <w:t>Строка «Финансирование дебиторской задолженности и запасов на период выхода на плановую мощность» — расчётная величина: расчётная величина — обеспечивает положительный остаток денежных средств в течение Года 1 при выходе на плановую загрузку (см. лист «Поток наличности»).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140 000 000</w:t>
            </w:r>
          </w:p>
        </w:tc>
        <w:tc>
          <w:tcPr/>
          <w:p>
            <w:r>
              <w:t>30,8%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314 671 458</w:t>
            </w:r>
          </w:p>
        </w:tc>
        <w:tc>
          <w:tcPr/>
          <w:p>
            <w:r>
              <w:t>69,2%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454 671 458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140 000 000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24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3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5 500 000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Проекты по договорам</w:t>
            </w:r>
          </w:p>
        </w:tc>
        <w:tc>
          <w:tcPr/>
          <w:p>
            <w:r>
              <w:t>78%</w:t>
            </w:r>
          </w:p>
        </w:tc>
        <w:tc>
          <w:tcPr/>
          <w:p>
            <w:r>
              <w:t>105 000 000</w:t>
            </w:r>
          </w:p>
        </w:tc>
      </w:tr>
      <w:tr>
        <w:tc>
          <w:tcPr/>
          <w:p>
            <w:r>
              <w:t>Подписочная модель (SaaS)</w:t>
            </w:r>
          </w:p>
        </w:tc>
        <w:tc>
          <w:tcPr/>
          <w:p>
            <w:r>
              <w:t>4%</w:t>
            </w:r>
          </w:p>
        </w:tc>
        <w:tc>
          <w:tcPr/>
          <w:p>
            <w:r>
              <w:t>5 000 000</w:t>
            </w:r>
          </w:p>
        </w:tc>
      </w:tr>
      <w:tr>
        <w:tc>
          <w:tcPr/>
          <w:p>
            <w:r>
              <w:t>Поддержка и сопровождение</w:t>
            </w:r>
          </w:p>
        </w:tc>
        <w:tc>
          <w:tcPr/>
          <w:p>
            <w:r>
              <w:t>11%</w:t>
            </w:r>
          </w:p>
        </w:tc>
        <w:tc>
          <w:tcPr/>
          <w:p>
            <w:r>
              <w:t>15 000 000</w:t>
            </w:r>
          </w:p>
        </w:tc>
      </w:tr>
      <w:tr>
        <w:tc>
          <w:tcPr/>
          <w:p>
            <w:r>
              <w:t>Консалтинг и аудит существующих систем</w:t>
            </w:r>
          </w:p>
        </w:tc>
        <w:tc>
          <w:tcPr/>
          <w:p>
            <w:r>
              <w:t>7%</w:t>
            </w:r>
          </w:p>
        </w:tc>
        <w:tc>
          <w:tcPr/>
          <w:p>
            <w:r>
              <w:t>10 000 000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135 000 000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8 500 000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88 480 000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7 840 000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2 916 667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14 500 000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122 236 667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67 500 000</w:t>
            </w:r>
          </w:p>
        </w:tc>
        <w:tc>
          <w:tcPr/>
          <w:p>
            <w:r>
              <w:t>105 300 000</w:t>
            </w:r>
          </w:p>
        </w:tc>
        <w:tc>
          <w:tcPr/>
          <w:p>
            <w:r>
              <w:t>135 000 000</w:t>
            </w:r>
          </w:p>
        </w:tc>
        <w:tc>
          <w:tcPr/>
          <w:p>
            <w:r>
              <w:t>145 016 308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−54 328 333</w:t>
            </w:r>
          </w:p>
        </w:tc>
        <w:tc>
          <w:tcPr/>
          <w:p>
            <w:r>
              <w:t>−18 194 333</w:t>
            </w:r>
          </w:p>
        </w:tc>
        <w:tc>
          <w:tcPr/>
          <w:p>
            <w:r>
              <w:t>8 874 944</w:t>
            </w:r>
          </w:p>
        </w:tc>
        <w:tc>
          <w:tcPr/>
          <w:p>
            <w:r>
              <w:t>17 636 899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157 009 792</w:t>
            </w:r>
          </w:p>
        </w:tc>
        <w:tc>
          <w:tcPr/>
          <w:p>
            <w:r>
              <w:t>52 977 958</w:t>
            </w:r>
          </w:p>
        </w:tc>
        <w:tc>
          <w:tcPr/>
          <w:p>
            <w:r>
              <w:t>4 050 000</w:t>
            </w:r>
          </w:p>
        </w:tc>
        <w:tc>
          <w:tcPr/>
          <w:p>
            <w:r>
              <w:t>50 158 914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95,6%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116 286 667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121 648 198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90,1%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(449 171 458 сум) по чистой прибыли на уровне проектной мощности (≈17 636 899 сум/мес к 12-му месяцу) — около 25 месяцев.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Зависимость от 1-2 крупных клиентов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Диверсификация портфеля клиентов, не более 30-40% выручки от одного заказчика</w:t>
            </w:r>
          </w:p>
        </w:tc>
      </w:tr>
      <w:tr>
        <w:tc>
          <w:tcPr/>
          <w:p>
            <w:r>
              <w:t>Отток квалифицированных кадров за рубеж или к конкурентам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0,60</w:t>
            </w:r>
          </w:p>
        </w:tc>
        <w:tc>
          <w:tcPr/>
          <w:p>
            <w:r>
              <w:t>Конкурентная оплата, удалённые/гибридные условия, программы обучения и роста</w:t>
            </w:r>
          </w:p>
        </w:tc>
      </w:tr>
      <w:tr>
        <w:tc>
          <w:tcPr/>
          <w:p>
            <w:r>
              <w:t>Валютные риски по контрактам в иностранной валюте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Привязка расчётов к валюте контракта, часть резервов в валюте</w:t>
            </w:r>
          </w:p>
        </w:tc>
      </w:tr>
      <w:tr>
        <w:tc>
          <w:tcPr/>
          <w:p>
            <w:r>
              <w:t>Рост конкуренции за резидентов и клиентов внутри IT Park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Узкая специализация/ниша, инвестиции в портфолио и репутацию, а не только в цену</w:t>
            </w:r>
          </w:p>
        </w:tc>
      </w:tr>
      <w:tr>
        <w:tc>
          <w:tcPr/>
          <w:p>
            <w:r>
              <w:t>Изменение условий налоговых льгот IT Park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Мониторинг регуляторики, диверсификация юрисдикций для крупных экспортёров</w:t>
            </w:r>
          </w:p>
        </w:tc>
      </w:tr>
      <w:tr>
        <w:tc>
          <w:tcPr/>
          <w:p>
            <w:r>
              <w:t>Кибербезопасность и утечка данных клиентов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Политики безопасности, NDA с сотрудниками, аудит инфраструктуры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2,90 из 5</w:t>
            </w:r>
          </w:p>
        </w:tc>
        <w:tc>
          <w:tcPr/>
          <w:p/>
        </w:tc>
      </w:tr>
    </w:tbl>
    <w:p>
      <w:r>
        <w:t>Итоговая взвешенная оценка (2,90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создаёт 6 квалифицированных рабочих мест в IT-секторе, генерирует валютную экспортную выручку и использует налоговые льготы резидента IT Park. Асset-лёгкая модель (капитальные затраты — только рабочие станции) снижает потребность в банковском финансировании по сравнению с другими отраслями.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