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ТЕХНИКО-ЭКОНОМИЧЕСКОЕ ОБОСНОВАНИЕ ПРОЕКТА</w:t>
      </w:r>
      <w:bookmarkEnd w:id="0"/>
    </w:p>
    <w:p>
      <w:r>
        <w:rPr>
          <w:rStyle w:val="CkMuted"/>
        </w:rPr>
        <w:t>Расширенный образец (ТЭО) для отрасли «Промышленность» — по структуре, близкой к банковской</w:t>
      </w:r>
    </w:p>
    <w:p>
      <w:r>
        <w:t>Наименование проекта: [впишите]</w:t>
      </w:r>
      <w:r>
        <w:br/>
      </w:r>
      <w:r>
        <w:t>Инициатор / заёмщик: [впишите]</w:t>
      </w:r>
      <w:r>
        <w:br/>
      </w:r>
      <w:r>
        <w:t>Регион реализации: [впишите]</w:t>
      </w:r>
      <w:r>
        <w:br/>
      </w:r>
      <w:r>
        <w:t>Полная стоимость проекта, сум: [впишите]</w:t>
      </w:r>
      <w:r>
        <w:br/>
      </w:r>
      <w:r>
        <w:t>Дата составления: [впишите]</w:t>
      </w:r>
    </w:p>
    <w:p>
      <w:r>
        <w:rPr>
          <w:rStyle w:val="CkCaption"/>
          <w:i/>
        </w:rPr>
        <w:t>Это расширенный образец (шаблон) MoliyaHub, построенный по структуре типового технико-экономического обоснования (ТЭО), которое банки Узбекистана обычно запрашивают при рассмотрении кредитной заявки на инвестиционный проект — с меморандумом о конфиденциальности, разделом о заёмщике, структурой финансирования, таблицей персонала и взвешенной оценкой рисков. Это НЕ более простой типовой бизнес-план (тот доступен на MoliyaHub отдельным файлом для той же отрасли) — это более полный и подробный формат для тех, кто готовит заявку сразу под требования банка. Все суммы и показатели ниже — иллюстративный пример для вымышленной компании, основанный на рыночных ориентирах 2025-2026 года и экспертных оценках порядка величины, а НЕ факт о реальной компании и не финансовая отчётность. Реквизиты заёмщика (ИНН, адрес, учредители, паспортные данные) должны быть заполнены вашими настоящими данными — образец сознательно не содержит вымышленных номеров документов, чтобы их нельзя было принять за реальные. Полная финансовая модель с рабочими формулами (16 связанных листов: смета, финансирование, амортизация, себестоимость по месяцам, график кредита, P&amp;L, рабочий капитал, поток наличности, NPV/IRR, точка безубыточности, прогнозный баланс) — в отдельном Excel-файле с тем же названием, который дополняет этот документ.</w:t>
      </w:r>
    </w:p>
    <w:p>
      <w:pPr>
        <w:pStyle w:val="Heading2"/>
        <ck:id v="confidentiality"/>
      </w:pPr>
      <w:bookmarkStart w:id="1" w:name="confidentiality"/>
      <w:r>
        <w:t>Меморандум о конфиденциальности</w:t>
      </w:r>
      <w:bookmarkEnd w:id="1"/>
    </w:p>
    <w:p>
      <w:r>
        <w:t>Настоящий документ и приложенная к нему финансовая модель содержат информацию о планируемой хозяйственной деятельности заёмщика и предназначены исключительно для рассмотрения кредитующим банком (инвестором) в целях принятия решения об участии в проекте. Документ не подлежит копированию или передаче третьим лицам без письменного согласия заёмщика, за исключением случаев, предусмотренных законодательством Республики Узбекистан. Все финансовые показатели являются прогнозными и не гарантируют фактического результата.</w:t>
      </w:r>
    </w:p>
    <w:p>
      <w:r>
        <w:t>[Впишите] При подготовке реальной заявки замените этот раздел меморандумом о конфиденциальности вашей компании либо согласуйте формулировку с юристом и требованиями конкретного банка.</w:t>
      </w:r>
    </w:p>
    <w:p>
      <w:pPr>
        <w:pStyle w:val="Heading2"/>
        <ck:id v="resume"/>
      </w:pPr>
      <w:bookmarkStart w:id="2" w:name="resume"/>
      <w:r>
        <w:t>Резюме проекта</w:t>
      </w:r>
      <w:bookmarkEnd w:id="2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ООО «Vodiy Tekstil» реализует проект расширения действующего швейного производства в Ферганской области: закупка дополнительного швейного и вязального оборудования, расширение цеха и выход на экспортные контракты по трикотажным изделиям при сохранении существующих оптовых и розничных каналов сбыта. Полная стоимость проекта — 1 327 000 000 сум, из которых 550 000 000 сум — банковский кредит на 24 месяца под 22% годовых с льготным периодом 3 месяца, остальное — собственный капитал инициатора. При выходе на проектную мощность (490 000 000 сум/мес выручки) срок окупаемости инвестиций по чистой прибыли — около 18-19 месяцев.</w:t>
                </w:r>
              </w:p>
            </w:tc>
          </w:tr>
        </w:tbl>
      </w:sdtContent>
    </w:sdt>
    <w:p>
      <w:r>
        <w:t>[Впишите] В 5-8 предложениях: суть проекта, какую проблему решает, для кого, требуемая сумма инвестиций и на что она пойдёт, ожидаемый результат (выручка/прибыль/срок окупаемости).</w:t>
      </w:r>
    </w:p>
    <w:p>
      <w:pPr>
        <w:pStyle w:val="Heading2"/>
        <ck:id v="borrower"/>
      </w:pPr>
      <w:bookmarkStart w:id="3" w:name="borrower"/>
      <w:r>
        <w:t>Информация о заёмщике</w:t>
      </w:r>
      <w:bookmarkEnd w:id="3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Реквизит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Полное наименование</w:t>
            </w:r>
          </w:p>
        </w:tc>
        <w:tc>
          <w:tcPr/>
          <w:p>
            <w:r>
              <w:t>ООО «Vodiy Tekstil» (пример)</w:t>
            </w:r>
          </w:p>
        </w:tc>
      </w:tr>
      <w:tr>
        <w:tc>
          <w:tcPr/>
          <w:p>
            <w:r>
              <w:t>Организационно-правовая форма</w:t>
            </w:r>
          </w:p>
        </w:tc>
        <w:tc>
          <w:tcPr/>
          <w:p>
            <w:r>
              <w:t>Общество с ограниченной ответственностью</w:t>
            </w:r>
          </w:p>
        </w:tc>
      </w:tr>
      <w:tr>
        <w:tc>
          <w:tcPr/>
          <w:p>
            <w:r>
              <w:t>Регион / адрес</w:t>
            </w:r>
          </w:p>
        </w:tc>
        <w:tc>
          <w:tcPr/>
          <w:p>
            <w:r>
              <w:t>[Впишите] — юридический и фактический адрес</w:t>
            </w:r>
          </w:p>
        </w:tc>
      </w:tr>
      <w:tr>
        <w:tc>
          <w:tcPr/>
          <w:p>
            <w:r>
              <w:t>ИНН / № свидетельства о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Учредители и доли</w:t>
            </w:r>
          </w:p>
        </w:tc>
        <w:tc>
          <w:tcPr/>
          <w:p>
            <w:r>
              <w:t>[Впишите] — Ф.И.О. / наименование, доли участия</w:t>
            </w:r>
          </w:p>
        </w:tc>
      </w:tr>
      <w:tr>
        <w:tc>
          <w:tcPr/>
          <w:p>
            <w:r>
              <w:t>Основной вид деятельности</w:t>
            </w:r>
          </w:p>
        </w:tc>
        <w:tc>
          <w:tcPr/>
          <w:p>
            <w:r>
              <w:t>Пошив и вязание трикотажных изделий</w:t>
            </w:r>
          </w:p>
        </w:tc>
      </w:tr>
      <w:tr>
        <w:tc>
          <w:tcPr/>
          <w:p>
            <w:r>
              <w:t>Дата государственной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Руководитель</w:t>
            </w:r>
          </w:p>
        </w:tc>
        <w:tc>
          <w:tcPr/>
          <w:p>
            <w:r>
              <w:t>[Впишите] — Ф.И.О., должность</w:t>
            </w:r>
          </w:p>
        </w:tc>
      </w:tr>
      <w:tr>
        <w:tc>
          <w:tcPr/>
          <w:p>
            <w:r>
              <w:t>Банковские реквизиты</w:t>
            </w:r>
          </w:p>
        </w:tc>
        <w:tc>
          <w:tcPr/>
          <w:p>
            <w:r>
              <w:t>[Впишите] — обслуживающий банк, расчётный счёт</w:t>
            </w:r>
          </w:p>
        </w:tc>
      </w:tr>
    </w:tbl>
    <w:p>
      <w:r>
        <w:t>[Впишите] Реквизиты выше — не заполняйте вымышленными номерами: используйте настоящие данные вашей организации при подаче в банк.</w:t>
      </w:r>
    </w:p>
    <w:p>
      <w:pPr>
        <w:pStyle w:val="Heading2"/>
        <ck:id v="project-description"/>
      </w:pPr>
      <w:bookmarkStart w:id="4" w:name="project_description"/>
      <w:r>
        <w:t>Описание проекта</w:t>
      </w:r>
      <w:bookmarkEnd w:id="4"/>
    </w:p>
    <w:p>
      <w:r>
        <w:t>[Впишите] Организационно-правовая форма, текущий статус проекта (идея / действующий бизнес / расширение), уникальное торговое предложение, этапы реализации (закупка и монтаж оборудования, набор и обучение персонала, выход на проектную мощность).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Компания действует на рынке текстильной продукции, использует хлопковую пряжу местного кластера в качестве основного сырья. Проект предполагает три этапа: (1) закупка и монтаж швейного/вязального оборудования — 1-2 месяц; (2) набор дополнительного персонала и выход на 50-95% проектной мощности — 3-5 месяц; (3) стабильная работа на полной мощности с постепенным ростом за счёт новых экспортных контрактов — с 6-го месяца.</w:t>
                </w:r>
              </w:p>
            </w:tc>
          </w:tr>
        </w:tbl>
      </w:sdtContent>
    </w:sdt>
    <w:p>
      <w:pPr>
        <w:pStyle w:val="Heading2"/>
        <ck:id v="market"/>
      </w:pPr>
      <w:bookmarkStart w:id="5" w:name="market"/>
      <w:r>
        <w:t>Анализ рынка: Промышленность</w:t>
      </w:r>
      <w:bookmarkEnd w:id="5"/>
    </w:p>
    <w:p>
      <w:pPr>
        <w:pStyle w:val="ListParagraph"/>
        <w:numPr>
          <w:ilvl w:val="0"/>
          <w:numId w:val="1"/>
        </w:numPr>
      </w:pPr>
      <w:r>
        <w:t>Узбекистан — один из крупнейших мировых производителей хлопка-волокна; сырьевая база для текстильной и швейной отрасли — на месте, что снижает валютные риски по сырью по сравнению со странами-импортёрами хлопка.</w:t>
      </w:r>
    </w:p>
    <w:p>
      <w:pPr>
        <w:pStyle w:val="ListParagraph"/>
        <w:numPr>
          <w:ilvl w:val="0"/>
          <w:numId w:val="1"/>
        </w:numPr>
      </w:pPr>
      <w:r>
        <w:t>Текстильная и швейная промышленность — приоритетный экспортный сектор: действуют кластерная система (от хлопка до готового изделия в одной цепочке), свободные экономические зоны и налоговые льготы для производителей-экспортёров.</w:t>
      </w:r>
    </w:p>
    <w:p>
      <w:pPr>
        <w:pStyle w:val="ListParagraph"/>
        <w:numPr>
          <w:ilvl w:val="0"/>
          <w:numId w:val="1"/>
        </w:numPr>
      </w:pPr>
      <w:r>
        <w:t>По данным Госкомстата, за январь–апрель 2026 года Узбекистан экспортировал текстильной продукции на $454,5 млн (готовые изделия — 50%, пряжа — 32%), что заметно ниже уровня аналогичного периода 2025 года (около $840 млн) — отрасль ощущает давление внешнего спроса и ценовой конкуренции, планировать экспортную выручку стоит консервативно (stat.uz).</w:t>
      </w:r>
    </w:p>
    <w:p>
      <w:pPr>
        <w:pStyle w:val="ListParagraph"/>
        <w:numPr>
          <w:ilvl w:val="0"/>
          <w:numId w:val="1"/>
        </w:numPr>
      </w:pPr>
      <w:r>
        <w:t>Для сравнения: Турция и Пакистан остаются крупнейшими конкурентами на глобальном рынке текстиля за счёт масштаба производства и близости к морским портам; Узбекистан конкурирует прежде всего собственным хлопковым сырьём и льготными условиями в кластерах.</w:t>
      </w:r>
    </w:p>
    <w:p>
      <w:pPr>
        <w:pStyle w:val="ListParagraph"/>
        <w:numPr>
          <w:ilvl w:val="0"/>
          <w:numId w:val="1"/>
        </w:numPr>
      </w:pPr>
      <w:r>
        <w:t>Растёт экспорт в страны СНГ и ЕС (преференциальный режим GSP+ с ЕС на часть товарных позиций) — учитывайте требования к качеству, сертификации (ISO, Oeko-Tex) и происхождению товара на целевом рынке.</w:t>
      </w:r>
    </w:p>
    <w:p>
      <w:pPr>
        <w:pStyle w:val="ListParagraph"/>
        <w:numPr>
          <w:ilvl w:val="0"/>
          <w:numId w:val="1"/>
        </w:numPr>
      </w:pPr>
      <w:r>
        <w:t>[Впишите] Объём и динамику конкретного продуктового сегмента, долю рынка ключевых конкурентов — эти данные лучше собрать под конкретный продукт (отраслевая статистика Госкомстата, таможенная статистика).</w:t>
      </w:r>
    </w:p>
    <w:p>
      <w:pPr>
        <w:pStyle w:val="Heading3"/>
        <ck:id v="section-1"/>
      </w:pPr>
      <w:bookmarkStart w:id="6" w:name="section_1"/>
      <w:r>
        <w:t>Конкуренты</w:t>
      </w:r>
      <w:bookmarkEnd w:id="6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 — вымышленные компании для иллюстрации формата таблицы</w:t>
                </w:r>
              </w:p>
              <w:tbl>
                <w:tblPr>
                  <w:tblStyle w:val="CkTable"/>
                  <w:tblW w:w="0" w:type="auto"/>
                  <w:tblLayout w:type="autofit"/>
                  <w:tblLook w:firstRow="1" w:lastRow="0" w:firstColumn="0" w:lastColumn="0" w:noHBand="0" w:noVBand="1"/>
                </w:tblPr>
                <w:tblGrid>
                  <w:gridCol/>
                  <w:gridCol/>
                  <w:gridCol/>
                  <w:gridCol/>
                </w:tblGrid>
                <w:tr>
                  <w:trPr>
                    <w:tblHeader/>
                  </w:trPr>
                  <w:tc>
                    <w:tcPr/>
                    <w:p>
                      <w:r>
                        <w:rPr>
                          <w:b/>
                        </w:rPr>
                        <w:t>Конкурент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Профиль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Сильные стороны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Слабые стороны</w:t>
                      </w:r>
                    </w:p>
                  </w:tc>
                </w:tr>
                <w:tr>
                  <w:tc>
                    <w:tcPr/>
                    <w:p>
                      <w:r>
                        <w:t>ООО «Farg'ona Tekstil Grup»</w:t>
                      </w:r>
                    </w:p>
                  </w:tc>
                  <w:tc>
                    <w:tcPr/>
                    <w:p>
                      <w:r>
                        <w:t>Крупный вертикально-интегрированный производитель (от хлопка до готовых изделий), та же область</w:t>
                      </w:r>
                    </w:p>
                  </w:tc>
                  <w:tc>
                    <w:tcPr/>
                    <w:p>
                      <w:r>
                        <w:t>Масштаб, собственное сырьё, устоявшиеся экспортные контракты</w:t>
                      </w:r>
                    </w:p>
                  </w:tc>
                  <w:tc>
                    <w:tcPr/>
                    <w:p>
                      <w:r>
                        <w:t>Менее гибок под мелкие/кастомные заказы, долгие согласования</w:t>
                      </w:r>
                    </w:p>
                  </w:tc>
                </w:tr>
                <w:tr>
                  <w:tc>
                    <w:tcPr/>
                    <w:p>
                      <w:r>
                        <w:t>СП ООО «AsiaKnit Textile»</w:t>
                      </w:r>
                    </w:p>
                  </w:tc>
                  <w:tc>
                    <w:tcPr/>
                    <w:p>
                      <w:r>
                        <w:t>Совместное предприятие с иностранным партнёром, специализация на трикотажном полотне</w:t>
                      </w:r>
                    </w:p>
                  </w:tc>
                  <w:tc>
                    <w:tcPr/>
                    <w:p>
                      <w:r>
                        <w:t>Доступ к зарубежным технологиям и рынкам сбыта</w:t>
                      </w:r>
                    </w:p>
                  </w:tc>
                  <w:tc>
                    <w:tcPr/>
                    <w:p>
                      <w:r>
                        <w:t>Выше себестоимость из-за импортных комплектующих</w:t>
                      </w:r>
                    </w:p>
                  </w:tc>
                </w:tr>
                <w:tr>
                  <w:tc>
                    <w:tcPr/>
                    <w:p>
                      <w:r>
                        <w:t>ЧП «Marg'ilon Ipagi»</w:t>
                      </w:r>
                    </w:p>
                  </w:tc>
                  <w:tc>
                    <w:tcPr/>
                    <w:p>
                      <w:r>
                        <w:t>Небольшое частное предприятие, шёлковые и смешанные ткани</w:t>
                      </w:r>
                    </w:p>
                  </w:tc>
                  <w:tc>
                    <w:tcPr/>
                    <w:p>
                      <w:r>
                        <w:t>Нишевая специализация, известный региональный бренд</w:t>
                      </w:r>
                    </w:p>
                  </w:tc>
                  <w:tc>
                    <w:tcPr/>
                    <w:p>
                      <w:r>
                        <w:t>Ограниченные мощности, слабый экспорт</w:t>
                      </w:r>
                    </w:p>
                  </w:tc>
                </w:tr>
                <w:tr>
                  <w:tc>
                    <w:tcPr/>
                    <w:p>
                      <w:r>
                        <w:t>ООО «Andijon Kiyim Eksport»</w:t>
                      </w:r>
                    </w:p>
                  </w:tc>
                  <w:tc>
                    <w:tcPr/>
                    <w:p>
                      <w:r>
                        <w:t>Экспортно-ориентированный швейный холдинг</w:t>
                      </w:r>
                    </w:p>
                  </w:tc>
                  <w:tc>
                    <w:tcPr/>
                    <w:p>
                      <w:r>
                        <w:t>Отработанная логистика в РФ/КЗ, крупные объёмы</w:t>
                      </w:r>
                    </w:p>
                  </w:tc>
                  <w:tc>
                    <w:tcPr/>
                    <w:p>
                      <w:r>
                        <w:t>Зависимость от 1-2 рынков сбыта</w:t>
                      </w:r>
                    </w:p>
                  </w:tc>
                </w:tr>
              </w:tbl>
              <w:p/>
            </w:tc>
          </w:tr>
        </w:tbl>
      </w:sdtContent>
    </w:sdt>
    <w:p>
      <w:r>
        <w:t>[Впишите] Список из 3-5 РЕАЛЬНЫХ прямых конкурентов вашего проекта (компании выше — вымышленный пример для иллюстрации формата), их сильные и слабые стороны, чем вы отличаетесь.</w:t>
      </w:r>
    </w:p>
    <w:p>
      <w:pPr>
        <w:pStyle w:val="Heading3"/>
        <ck:id v="section-2"/>
      </w:pPr>
      <w:bookmarkStart w:id="7" w:name="section_2"/>
      <w:r>
        <w:t>Конкурентный ответ</w:t>
      </w:r>
      <w:bookmarkEnd w:id="7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Фактор конкуренции</w:t>
            </w:r>
          </w:p>
        </w:tc>
        <w:tc>
          <w:tcPr/>
          <w:p>
            <w:r>
              <w:rPr>
                <w:b/>
              </w:rPr>
              <w:t>Подход компании</w:t>
            </w:r>
          </w:p>
        </w:tc>
      </w:tr>
      <w:tr>
        <w:tc>
          <w:tcPr/>
          <w:p>
            <w:r>
              <w:t>Цена</w:t>
            </w:r>
          </w:p>
        </w:tc>
        <w:tc>
          <w:tcPr/>
          <w:p>
            <w:r>
              <w:t>На уровне регионального рынка за счёт использования локального хлопкового сырья (без валютных издержек на сырьё)</w:t>
            </w:r>
          </w:p>
        </w:tc>
      </w:tr>
      <w:tr>
        <w:tc>
          <w:tcPr/>
          <w:p>
            <w:r>
              <w:t>Диверсификация каналов сбыта</w:t>
            </w:r>
          </w:p>
        </w:tc>
        <w:tc>
          <w:tcPr/>
          <w:p>
            <w:r>
              <w:t>Одновременно опт, розница/маркетплейсы, экспорт и толлинг — не зависит от одного канала</w:t>
            </w:r>
          </w:p>
        </w:tc>
      </w:tr>
      <w:tr>
        <w:tc>
          <w:tcPr/>
          <w:p>
            <w:r>
              <w:t>Гибкость производства</w:t>
            </w:r>
          </w:p>
        </w:tc>
        <w:tc>
          <w:tcPr/>
          <w:p>
            <w:r>
              <w:t>Смешанное швейное и вязальное производство позволяет переключаться между видами продукции по спросу</w:t>
            </w:r>
          </w:p>
        </w:tc>
      </w:tr>
      <w:tr>
        <w:tc>
          <w:tcPr/>
          <w:p>
            <w:r>
              <w:t>Соответствие требованиям экспорта</w:t>
            </w:r>
          </w:p>
        </w:tc>
        <w:tc>
          <w:tcPr/>
          <w:p>
            <w:r>
              <w:t>Сертификация по Oeko-Tex/ISO для доступа к рынку ЕС в рамках GSP+</w:t>
            </w:r>
          </w:p>
        </w:tc>
      </w:tr>
    </w:tbl>
    <w:p>
      <w:pPr>
        <w:pStyle w:val="Heading3"/>
        <ck:id v="section-3"/>
      </w:pPr>
      <w:bookmarkStart w:id="8" w:name="section_3"/>
      <w:r>
        <w:t>Целевая аудитория</w:t>
      </w:r>
      <w:bookmarkEnd w:id="8"/>
    </w:p>
    <w:p>
      <w:r>
        <w:t>[Впишите] Портрет основного клиента (оптовый байер, маркетплейс, экспортный дистрибьютор): что для него важно при выборе поставщика, где его найти.</w:t>
      </w:r>
    </w:p>
    <w:p>
      <w:pPr>
        <w:pStyle w:val="Heading2"/>
        <ck:id v="marketing"/>
      </w:pPr>
      <w:bookmarkStart w:id="9" w:name="marketing"/>
      <w:r>
        <w:t>Маркетинговый план</w:t>
      </w:r>
      <w:bookmarkEnd w:id="9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Цена — на 10-15% ниже импортных аналогов за счёт местного сырья; продажи — через прямые контракты с оптовыми сетями в Казахстане и России, участие в отраслевых выставках (Uzbekistan Textile Expo), выход на маркетплейсы для розничного канала и приём толлинговых заказов от кластера в периоды неполной загрузки.</w:t>
                </w:r>
              </w:p>
            </w:tc>
          </w:tr>
        </w:tbl>
      </w:sdtContent>
    </w:sdt>
    <w:p>
      <w:r>
        <w:t>[Впишите] Ценообразование, каналы продвижения и продаж, план привлечения первых клиентов.</w:t>
      </w:r>
    </w:p>
    <w:p>
      <w:pPr>
        <w:pStyle w:val="Heading2"/>
        <ck:id v="org"/>
      </w:pPr>
      <w:bookmarkStart w:id="10" w:name="org"/>
      <w:r>
        <w:t>Организационный план и персонал</w:t>
      </w:r>
      <w:bookmarkEnd w:id="10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Директор-учредитель, технолог производства, 2 мастера смены, 36 швей, бухгалтерия на аутсорсе — всего 41 человек. Форма — ООО.</w:t>
                </w:r>
              </w:p>
            </w:tc>
          </w:tr>
        </w:tbl>
      </w:sdtContent>
    </w:sdt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Должность</w:t>
            </w:r>
          </w:p>
        </w:tc>
        <w:tc>
          <w:tcPr/>
          <w:p>
            <w:r>
              <w:rPr>
                <w:b/>
              </w:rPr>
              <w:t>Кол-во, чел.</w:t>
            </w:r>
          </w:p>
        </w:tc>
        <w:tc>
          <w:tcPr/>
          <w:p>
            <w:r>
              <w:rPr>
                <w:b/>
              </w:rPr>
              <w:t>Оклад, сум/мес</w:t>
            </w:r>
          </w:p>
        </w:tc>
        <w:tc>
          <w:tcPr/>
          <w:p>
            <w:r>
              <w:rPr>
                <w:b/>
              </w:rPr>
              <w:t>ФОТ, сум/мес</w:t>
            </w:r>
          </w:p>
        </w:tc>
        <w:tc>
          <w:tcPr/>
          <w:p>
            <w:r>
              <w:rPr>
                <w:b/>
              </w:rPr>
              <w:t>Категория</w:t>
            </w:r>
          </w:p>
        </w:tc>
      </w:tr>
      <w:tr>
        <w:tc>
          <w:tcPr/>
          <w:p>
            <w:r>
              <w:t>Дирекция (директор-учредитель)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12 000 000</w:t>
            </w:r>
          </w:p>
        </w:tc>
        <w:tc>
          <w:tcPr/>
          <w:p>
            <w:r>
              <w:t>12 000 000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t>Бухгалтерия (аутсорс)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3 000 000</w:t>
            </w:r>
          </w:p>
        </w:tc>
        <w:tc>
          <w:tcPr/>
          <w:p>
            <w:r>
              <w:t>3 000 000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t>Технолог производства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6 500 000</w:t>
            </w:r>
          </w:p>
        </w:tc>
        <w:tc>
          <w:tcPr/>
          <w:p>
            <w:r>
              <w:t>6 500 000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Мастера смены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4 500 000</w:t>
            </w:r>
          </w:p>
        </w:tc>
        <w:tc>
          <w:tcPr/>
          <w:p>
            <w:r>
              <w:t>9 000 000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Швеи</w:t>
            </w:r>
          </w:p>
        </w:tc>
        <w:tc>
          <w:tcPr/>
          <w:p>
            <w:r>
              <w:t>36</w:t>
            </w:r>
          </w:p>
        </w:tc>
        <w:tc>
          <w:tcPr/>
          <w:p>
            <w:r>
              <w:t>3 500 000</w:t>
            </w:r>
          </w:p>
        </w:tc>
        <w:tc>
          <w:tcPr/>
          <w:p>
            <w:r>
              <w:t>126 000 000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rPr>
                <w:b/>
              </w:rPr>
              <w:t>Итого персонал</w:t>
            </w:r>
          </w:p>
        </w:tc>
        <w:tc>
          <w:tcPr/>
          <w:p>
            <w:r>
              <w:rPr>
                <w:b/>
              </w:rPr>
              <w:t>41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156 500 000</w:t>
            </w:r>
          </w:p>
        </w:tc>
        <w:tc>
          <w:tcPr/>
          <w:p/>
        </w:tc>
      </w:tr>
      <w:tr>
        <w:tc>
          <w:tcPr/>
          <w:p>
            <w:r>
              <w:t>ЕСП (единый социальный платёж, 12% от ФОТ)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t>18 780 000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ФОТ с ЕСП, сум/мес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rPr>
                <w:b/>
              </w:rPr>
              <w:t>175 280 000</w:t>
            </w:r>
          </w:p>
        </w:tc>
        <w:tc>
          <w:tcPr/>
          <w:p/>
        </w:tc>
      </w:tr>
    </w:tbl>
    <w:p>
      <w:r>
        <w:t>[Впишите] Штатное расписание, оклады и организационно-правовая форма вашей компании.</w:t>
      </w:r>
    </w:p>
    <w:p>
      <w:pPr>
        <w:pStyle w:val="Heading2"/>
        <ck:id v="financing"/>
      </w:pPr>
      <w:bookmarkStart w:id="11" w:name="financing"/>
      <w:r>
        <w:t>Смета проекта и структура финансирования</w:t>
      </w:r>
      <w:bookmarkEnd w:id="11"/>
    </w:p>
    <w:p>
      <w:r>
        <w:rPr>
          <w:b/>
        </w:rPr>
        <w:t>Смета проекта (стартовые инвестиции)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Тип актива</w:t>
            </w:r>
          </w:p>
        </w:tc>
      </w:tr>
      <w:tr>
        <w:tc>
          <w:tcPr/>
          <w:p>
            <w:r>
              <w:t>Аренда и ремонт производственного помещения</w:t>
            </w:r>
          </w:p>
        </w:tc>
        <w:tc>
          <w:tcPr/>
          <w:p>
            <w:r>
              <w:t>130 000 000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Швейное и вязальное оборудование</w:t>
            </w:r>
          </w:p>
        </w:tc>
        <w:tc>
          <w:tcPr/>
          <w:p>
            <w:r>
              <w:t>400 000 000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Пусконаладка и обучение персонала</w:t>
            </w:r>
          </w:p>
        </w:tc>
        <w:tc>
          <w:tcPr/>
          <w:p>
            <w:r>
              <w:t>15 000 000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Сырьё на первую партию (пряжа)</w:t>
            </w:r>
          </w:p>
        </w:tc>
        <w:tc>
          <w:tcPr/>
          <w:p>
            <w:r>
              <w:t>160 000 000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Финансирование дебиторской задолженности и запасов на период выхода на мощность</w:t>
            </w:r>
          </w:p>
        </w:tc>
        <w:tc>
          <w:tcPr/>
          <w:p>
            <w:r>
              <w:t>600 000 000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Спецодежда и охрана труда</w:t>
            </w:r>
          </w:p>
        </w:tc>
        <w:tc>
          <w:tcPr/>
          <w:p>
            <w:r>
              <w:t>17 000 000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Регистрация юрлица и разрешения</w:t>
            </w:r>
          </w:p>
        </w:tc>
        <w:tc>
          <w:tcPr/>
          <w:p>
            <w:r>
              <w:t>5 000 000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Итого основные средства</w:t>
            </w:r>
          </w:p>
        </w:tc>
        <w:tc>
          <w:tcPr/>
          <w:p>
            <w:r>
              <w:rPr>
                <w:b/>
              </w:rPr>
              <w:t>545 000 000</w:t>
            </w:r>
          </w:p>
        </w:tc>
        <w:tc>
          <w:tcPr/>
          <w:p/>
        </w:tc>
      </w:tr>
      <w:tr>
        <w:tc>
          <w:tcPr/>
          <w:p>
            <w:r>
              <w:t>Итого оборотные средства</w:t>
            </w:r>
          </w:p>
        </w:tc>
        <w:tc>
          <w:tcPr/>
          <w:p>
            <w:r>
              <w:rPr>
                <w:b/>
              </w:rPr>
              <w:t>782 000 000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СМЕТА ПРОЕКТА</w:t>
            </w:r>
          </w:p>
        </w:tc>
        <w:tc>
          <w:tcPr/>
          <w:p>
            <w:r>
              <w:rPr>
                <w:b/>
              </w:rPr>
              <w:t>1 327 000 000</w:t>
            </w:r>
          </w:p>
        </w:tc>
        <w:tc>
          <w:tcPr/>
          <w:p/>
        </w:tc>
      </w:tr>
    </w:tbl>
    <w:p>
      <w:r>
        <w:rPr>
          <w:rStyle w:val="CkCaption"/>
          <w:i/>
        </w:rPr>
        <w:t>Оборотные средства в этой версии сметы значительно больше, чем в упрощённом примере той же отрасли на MoliyaHub — потому что здесь они рассчитаны из детальной модели рабочего капитала (лист «Рабочий капитал» в Excel: оборачиваемость дебиторской задолженности 20 дней, запасов сырья 25 дней, готовой продукции 15 дней), а не оценены на глаз. Это — типичная находка при переходе от упрощённой прикидки к полному банковскому ТЭО: финансово-ёмкие статьи вроде дебиторской задолженности и запасов легко недооценить.</w:t>
      </w:r>
    </w:p>
    <w:p>
      <w:r>
        <w:rPr>
          <w:b/>
        </w:rPr>
        <w:t>Структура финансирования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Источник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Доля, %</w:t>
            </w:r>
          </w:p>
        </w:tc>
      </w:tr>
      <w:tr>
        <w:tc>
          <w:tcPr/>
          <w:p>
            <w:r>
              <w:t>Банковский кредит</w:t>
            </w:r>
          </w:p>
        </w:tc>
        <w:tc>
          <w:tcPr/>
          <w:p>
            <w:r>
              <w:t>550 000 000</w:t>
            </w:r>
          </w:p>
        </w:tc>
        <w:tc>
          <w:tcPr/>
          <w:p>
            <w:r>
              <w:t>41,0%</w:t>
            </w:r>
          </w:p>
        </w:tc>
      </w:tr>
      <w:tr>
        <w:tc>
          <w:tcPr/>
          <w:p>
            <w:r>
              <w:t>Собственный капитал инициатора</w:t>
            </w:r>
          </w:p>
        </w:tc>
        <w:tc>
          <w:tcPr/>
          <w:p>
            <w:r>
              <w:t>792 750 000</w:t>
            </w:r>
          </w:p>
        </w:tc>
        <w:tc>
          <w:tcPr/>
          <w:p>
            <w:r>
              <w:t>59,0%</w:t>
            </w:r>
          </w:p>
        </w:tc>
      </w:tr>
      <w:tr>
        <w:tc>
          <w:tcPr/>
          <w:p>
            <w:r>
              <w:rPr>
                <w:b/>
              </w:rPr>
              <w:t>ИТОГО ПОТРЕБНОСТЬ В ФИНАНСИРОВАНИИ</w:t>
            </w:r>
          </w:p>
        </w:tc>
        <w:tc>
          <w:tcPr/>
          <w:p>
            <w:r>
              <w:rPr>
                <w:b/>
              </w:rPr>
              <w:t>1 342 750 000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</w:tr>
    </w:tbl>
    <w:p>
      <w:r>
        <w:rPr>
          <w:b/>
        </w:rPr>
        <w:t>Условия кредита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Параметр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Сумма кредита</w:t>
            </w:r>
          </w:p>
        </w:tc>
        <w:tc>
          <w:tcPr/>
          <w:p>
            <w:r>
              <w:t>550 000 000 сум</w:t>
            </w:r>
          </w:p>
        </w:tc>
      </w:tr>
      <w:tr>
        <w:tc>
          <w:tcPr/>
          <w:p>
            <w:r>
              <w:t>Срок</w:t>
            </w:r>
          </w:p>
        </w:tc>
        <w:tc>
          <w:tcPr/>
          <w:p>
            <w:r>
              <w:t>24 месяца</w:t>
            </w:r>
          </w:p>
        </w:tc>
      </w:tr>
      <w:tr>
        <w:tc>
          <w:tcPr/>
          <w:p>
            <w:r>
              <w:t>Процентная ставка</w:t>
            </w:r>
          </w:p>
        </w:tc>
        <w:tc>
          <w:tcPr/>
          <w:p>
            <w:r>
              <w:t>22% годовых</w:t>
            </w:r>
          </w:p>
        </w:tc>
      </w:tr>
      <w:tr>
        <w:tc>
          <w:tcPr/>
          <w:p>
            <w:r>
              <w:t>Льготный период (уплата только процентов)</w:t>
            </w:r>
          </w:p>
        </w:tc>
        <w:tc>
          <w:tcPr/>
          <w:p>
            <w:r>
              <w:t>3 месяца</w:t>
            </w:r>
          </w:p>
        </w:tc>
      </w:tr>
      <w:tr>
        <w:tc>
          <w:tcPr/>
          <w:p>
            <w:r>
              <w:t>Порядок погашения основного долга</w:t>
            </w:r>
          </w:p>
        </w:tc>
        <w:tc>
          <w:tcPr/>
          <w:p>
            <w:r>
              <w:t>равными долями после льготного периода</w:t>
            </w:r>
          </w:p>
        </w:tc>
      </w:tr>
      <w:tr>
        <w:tc>
          <w:tcPr/>
          <w:p>
            <w:r>
              <w:t>Разовые сборы (комиссия банка 1,5%, нотариальное оформление залога, страхование залога 1%)</w:t>
            </w:r>
          </w:p>
        </w:tc>
        <w:tc>
          <w:tcPr/>
          <w:p>
            <w:r>
              <w:t>15 750 000 сум</w:t>
            </w:r>
          </w:p>
        </w:tc>
      </w:tr>
    </w:tbl>
    <w:p>
      <w:r>
        <w:t>[Впишите] Замените суммы, условия кредита и долю собственного капитала на данные вашего проекта — банк оценивает прежде всего долю собственного участия заёмщика и достаточность залогового обеспечения.</w:t>
      </w:r>
    </w:p>
    <w:p>
      <w:pPr>
        <w:pStyle w:val="Heading2"/>
        <ck:id v="financial-plan"/>
      </w:pPr>
      <w:bookmarkStart w:id="12" w:name="financial_plan"/>
      <w:r>
        <w:t>Финансовый план</w:t>
      </w:r>
      <w:bookmarkEnd w:id="12"/>
    </w:p>
    <w:p>
      <w:r>
        <w:rPr>
          <w:rStyle w:val="CkCaption"/>
          <w:i/>
        </w:rPr>
        <w:t>Показатели ниже рассчитаны в приложенном Excel-файле по формулам и приведены здесь для удобства чтения; при изменении исходных данных в Excel все цифры пересчитаются автоматически.</w:t>
      </w:r>
    </w:p>
    <w:p>
      <w:r>
        <w:rPr>
          <w:b/>
        </w:rPr>
        <w:t>Выручка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Канал сбыта</w:t>
            </w:r>
          </w:p>
        </w:tc>
        <w:tc>
          <w:tcPr/>
          <w:p>
            <w:r>
              <w:rPr>
                <w:b/>
              </w:rPr>
              <w:t>Доля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</w:tr>
      <w:tr>
        <w:tc>
          <w:tcPr/>
          <w:p>
            <w:r>
              <w:t>Оптовые продажи (внутренний рынок)</w:t>
            </w:r>
          </w:p>
        </w:tc>
        <w:tc>
          <w:tcPr/>
          <w:p>
            <w:r>
              <w:t>35%</w:t>
            </w:r>
          </w:p>
        </w:tc>
        <w:tc>
          <w:tcPr/>
          <w:p>
            <w:r>
              <w:t>171 500 000</w:t>
            </w:r>
          </w:p>
        </w:tc>
      </w:tr>
      <w:tr>
        <w:tc>
          <w:tcPr/>
          <w:p>
            <w:r>
              <w:t>Розничные продажи / маркетплейсы</w:t>
            </w:r>
          </w:p>
        </w:tc>
        <w:tc>
          <w:tcPr/>
          <w:p>
            <w:r>
              <w:t>10%</w:t>
            </w:r>
          </w:p>
        </w:tc>
        <w:tc>
          <w:tcPr/>
          <w:p>
            <w:r>
              <w:t>49 000 000</w:t>
            </w:r>
          </w:p>
        </w:tc>
      </w:tr>
      <w:tr>
        <w:tc>
          <w:tcPr/>
          <w:p>
            <w:r>
              <w:t>Экспортные поставки (Казахстан, Россия)</w:t>
            </w:r>
          </w:p>
        </w:tc>
        <w:tc>
          <w:tcPr/>
          <w:p>
            <w:r>
              <w:t>45%</w:t>
            </w:r>
          </w:p>
        </w:tc>
        <w:tc>
          <w:tcPr/>
          <w:p>
            <w:r>
              <w:t>220 500 000</w:t>
            </w:r>
          </w:p>
        </w:tc>
      </w:tr>
      <w:tr>
        <w:tc>
          <w:tcPr/>
          <w:p>
            <w:r>
              <w:t>Услуги давальческой переработки (толлинг)</w:t>
            </w:r>
          </w:p>
        </w:tc>
        <w:tc>
          <w:tcPr/>
          <w:p>
            <w:r>
              <w:t>10%</w:t>
            </w:r>
          </w:p>
        </w:tc>
        <w:tc>
          <w:tcPr/>
          <w:p>
            <w:r>
              <w:t>49 000 000</w:t>
            </w:r>
          </w:p>
        </w:tc>
      </w:tr>
      <w:tr>
        <w:tc>
          <w:tcPr/>
          <w:p>
            <w:r>
              <w:rPr>
                <w:b/>
              </w:rPr>
              <w:t>ИТОГО ВЫРУЧКА ПРИ ПОЛНОЙ МОЩНОСТИ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>
            <w:r>
              <w:rPr>
                <w:b/>
              </w:rPr>
              <w:t>490 000 000</w:t>
            </w:r>
          </w:p>
        </w:tc>
      </w:tr>
    </w:tbl>
    <w:p>
      <w:r>
        <w:rPr>
          <w:b/>
        </w:rPr>
        <w:t>Затраты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  <w:tc>
          <w:tcPr/>
          <w:p>
            <w:r>
              <w:rPr>
                <w:b/>
              </w:rPr>
              <w:t>Доля постоянных</w:t>
            </w:r>
          </w:p>
        </w:tc>
      </w:tr>
      <w:tr>
        <w:tc>
          <w:tcPr/>
          <w:p>
            <w:r>
              <w:t>Сырьё (пряжа)</w:t>
            </w:r>
          </w:p>
        </w:tc>
        <w:tc>
          <w:tcPr/>
          <w:p>
            <w:r>
              <w:t>205 800 000</w:t>
            </w:r>
          </w:p>
        </w:tc>
        <w:tc>
          <w:tcPr/>
          <w:p>
            <w:r>
              <w:t>0%</w:t>
            </w:r>
          </w:p>
        </w:tc>
      </w:tr>
      <w:tr>
        <w:tc>
          <w:tcPr/>
          <w:p>
            <w:r>
              <w:t>Коммунальные услуги</w:t>
            </w:r>
          </w:p>
        </w:tc>
        <w:tc>
          <w:tcPr/>
          <w:p>
            <w:r>
              <w:t>16 600 000</w:t>
            </w:r>
          </w:p>
        </w:tc>
        <w:tc>
          <w:tcPr/>
          <w:p>
            <w:r>
              <w:t>30%</w:t>
            </w:r>
          </w:p>
        </w:tc>
      </w:tr>
      <w:tr>
        <w:tc>
          <w:tcPr/>
          <w:p>
            <w:r>
              <w:t>ФОТ и ЕСП производственный</w:t>
            </w:r>
          </w:p>
        </w:tc>
        <w:tc>
          <w:tcPr/>
          <w:p>
            <w:r>
              <w:t>158 480 000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ФОТ и ЕСП административный</w:t>
            </w:r>
          </w:p>
        </w:tc>
        <w:tc>
          <w:tcPr/>
          <w:p>
            <w:r>
              <w:t>16 800 000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Амортизация</w:t>
            </w:r>
          </w:p>
        </w:tc>
        <w:tc>
          <w:tcPr/>
          <w:p>
            <w:r>
              <w:t>5 541 667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Прочие общехозяйственные расходы</w:t>
            </w:r>
          </w:p>
        </w:tc>
        <w:tc>
          <w:tcPr/>
          <w:p>
            <w:r>
              <w:t>15 000 000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rPr>
                <w:b/>
              </w:rPr>
              <w:t>ИТОГО ЗАТРАТЫ ПРИ ПОЛНОЙ МОЩНОСТИ</w:t>
            </w:r>
          </w:p>
        </w:tc>
        <w:tc>
          <w:tcPr/>
          <w:p>
            <w:r>
              <w:rPr>
                <w:b/>
              </w:rPr>
              <w:t>418 221 667</w:t>
            </w:r>
          </w:p>
        </w:tc>
        <w:tc>
          <w:tcPr/>
          <w:p/>
        </w:tc>
      </w:tr>
    </w:tbl>
    <w:p>
      <w:r>
        <w:rPr>
          <w:b/>
        </w:rPr>
        <w:t>Выход на мощность в Году 1</w:t>
      </w:r>
      <w:r>
        <w:t xml:space="preserve"> — проект не стартует сразу со 100% загрузки: в модели заложен постепенный выход на проектную мощность за 6 месяцев (50% → 65% → 78% → 88% → 95% → 100%), что реалистичнее для нового оборудования и набора персонала и напрямую влияет на потребность в оборотном капитале и денежный поток первых месяцев (см. лист «План продаж» в Excel).</w:t>
      </w:r>
    </w:p>
    <w:p>
      <w:r>
        <w:rPr>
          <w:b/>
        </w:rPr>
        <w:t>Ключевые показатели по месяцам Года 1, сум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Мес. 1 (50%)</w:t>
            </w:r>
          </w:p>
        </w:tc>
        <w:tc>
          <w:tcPr/>
          <w:p>
            <w:r>
              <w:rPr>
                <w:b/>
              </w:rPr>
              <w:t>Мес. 3 (78%)</w:t>
            </w:r>
          </w:p>
        </w:tc>
        <w:tc>
          <w:tcPr/>
          <w:p>
            <w:r>
              <w:rPr>
                <w:b/>
              </w:rPr>
              <w:t>Мес. 6 (100%)</w:t>
            </w:r>
          </w:p>
        </w:tc>
        <w:tc>
          <w:tcPr/>
          <w:p>
            <w:r>
              <w:rPr>
                <w:b/>
              </w:rPr>
              <w:t>Мес. 12</w:t>
            </w:r>
          </w:p>
        </w:tc>
      </w:tr>
      <w:tr>
        <w:tc>
          <w:tcPr/>
          <w:p>
            <w:r>
              <w:t>Выручка</w:t>
            </w:r>
          </w:p>
        </w:tc>
        <w:tc>
          <w:tcPr/>
          <w:p>
            <w:r>
              <w:t>245 000 000</w:t>
            </w:r>
          </w:p>
        </w:tc>
        <w:tc>
          <w:tcPr/>
          <w:p>
            <w:r>
              <w:t>382 200 000</w:t>
            </w:r>
          </w:p>
        </w:tc>
        <w:tc>
          <w:tcPr/>
          <w:p>
            <w:r>
              <w:t>490 000 000</w:t>
            </w:r>
          </w:p>
        </w:tc>
        <w:tc>
          <w:tcPr/>
          <w:p>
            <w:r>
              <w:t>526 355 488</w:t>
            </w:r>
          </w:p>
        </w:tc>
      </w:tr>
      <w:tr>
        <w:tc>
          <w:tcPr/>
          <w:p>
            <w:r>
              <w:t>Чистая прибыль</w:t>
            </w:r>
          </w:p>
        </w:tc>
        <w:tc>
          <w:tcPr/>
          <w:p>
            <w:r>
              <w:t>−74 595 000</w:t>
            </w:r>
          </w:p>
        </w:tc>
        <w:tc>
          <w:tcPr/>
          <w:p>
            <w:r>
              <w:t>1 468 290</w:t>
            </w:r>
          </w:p>
        </w:tc>
        <w:tc>
          <w:tcPr/>
          <w:p>
            <w:r>
              <w:t>53 257 020</w:t>
            </w:r>
          </w:p>
        </w:tc>
        <w:tc>
          <w:tcPr/>
          <w:p>
            <w:r>
              <w:t>72 896 262</w:t>
            </w:r>
          </w:p>
        </w:tc>
      </w:tr>
      <w:tr>
        <w:tc>
          <w:tcPr/>
          <w:p>
            <w:r>
              <w:t>Остаток денежных средств на конец периода</w:t>
            </w:r>
          </w:p>
        </w:tc>
        <w:tc>
          <w:tcPr/>
          <w:p>
            <w:r>
              <w:t>330 757 500</w:t>
            </w:r>
          </w:p>
        </w:tc>
        <w:tc>
          <w:tcPr/>
          <w:p>
            <w:r>
              <w:t>139 675 657</w:t>
            </w:r>
          </w:p>
        </w:tc>
        <w:tc>
          <w:tcPr/>
          <w:p>
            <w:r>
              <w:t>63 375 206</w:t>
            </w:r>
          </w:p>
        </w:tc>
        <w:tc>
          <w:tcPr/>
          <w:p>
            <w:r>
              <w:t>282 136 647</w:t>
            </w:r>
          </w:p>
        </w:tc>
      </w:tr>
    </w:tbl>
    <w:p>
      <w:r>
        <w:rPr>
          <w:rStyle w:val="CkCaption"/>
          <w:i/>
        </w:rPr>
        <w:t>Денежный поток остаётся положительным весь Год 1 (минимум — около 61 млн сум в 5-м месяце) при условии, что собственный капитал инициатора действительно покрывает не только основные средства, но и нарастание дебиторской задолженности и запасов на период выхода на мощность (см. смету выше) — именно поэтому доля собственного капитала в этом примере (59%) выше, чем можно было бы ожидать при первом приближении.</w:t>
      </w:r>
    </w:p>
    <w:p>
      <w:r>
        <w:rPr>
          <w:b/>
        </w:rPr>
        <w:t>Точка безубыточности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Маржинальная рентабельность (вклад на покрытие)</w:t>
            </w:r>
          </w:p>
        </w:tc>
        <w:tc>
          <w:tcPr/>
          <w:p>
            <w:r>
              <w:t>55,6%</w:t>
            </w:r>
          </w:p>
        </w:tc>
      </w:tr>
      <w:tr>
        <w:tc>
          <w:tcPr/>
          <w:p>
            <w:r>
              <w:t>Постоянные затраты, сум/мес</w:t>
            </w:r>
          </w:p>
        </w:tc>
        <w:tc>
          <w:tcPr/>
          <w:p>
            <w:r>
              <w:t>200 801 667</w:t>
            </w:r>
          </w:p>
        </w:tc>
      </w:tr>
      <w:tr>
        <w:tc>
          <w:tcPr/>
          <w:p>
            <w:r>
              <w:t>Точка безубыточности по выручке, сум/мес</w:t>
            </w:r>
          </w:p>
        </w:tc>
        <w:tc>
          <w:tcPr/>
          <w:p>
            <w:r>
              <w:t>360 968 584</w:t>
            </w:r>
          </w:p>
        </w:tc>
      </w:tr>
      <w:tr>
        <w:tc>
          <w:tcPr/>
          <w:p>
            <w:r>
              <w:t>Точка безубыточности, % от проектной мощности</w:t>
            </w:r>
          </w:p>
        </w:tc>
        <w:tc>
          <w:tcPr/>
          <w:p>
            <w:r>
              <w:t>73,7%</w:t>
            </w:r>
          </w:p>
        </w:tc>
      </w:tr>
    </w:tbl>
    <w:p>
      <w:r>
        <w:rPr>
          <w:b/>
        </w:rPr>
        <w:t>Срок окупаемости и эффективность</w:t>
      </w:r>
    </w:p>
    <w:p>
      <w:r>
        <w:t>Срок окупаемости полной стоимости проекта (1 327 000 000 сум) по чистой прибыли на уровне проектной мощности (≈72,9 млн сум/мес к 12-му месяцу) — около 18-19 месяцев, что совпадает по порядку величины с упрощённым примером той же отрасли на MoliyaHub.</w:t>
      </w:r>
    </w:p>
    <w:p>
      <w:r>
        <w:t>NPV и IRR в приложенном Excel-файле рассчитаны только за Год 1 проекта (12 месяцев) — в течение этого периода компания ещё не успевает полностью окупить стартовые вложения (это нормально: полноценная оценка эффективности инвестиций обычно строится на горизонте, равном сроку кредита или сроку окупаемости — то есть 2-3 года, а не 1 год). Для реальной заявки в банк расширьте период анализа на листе «NPV и IRR» на нужное количество лет.</w:t>
      </w:r>
    </w:p>
    <w:p>
      <w:r>
        <w:t>[Впишите] Пересчитайте все показатели этого раздела на основе цен, ставок аренды/зарплат и объёмов продаж вашего проекта в вашем регионе — они автоматически обновятся и в приложенном Excel-файле.</w:t>
      </w:r>
    </w:p>
    <w:p>
      <w:pPr>
        <w:pStyle w:val="Heading2"/>
        <ck:id v="risks"/>
      </w:pPr>
      <w:bookmarkStart w:id="13" w:name="risks"/>
      <w:r>
        <w:t>Оценка рисков</w:t>
      </w:r>
      <w:bookmarkEnd w:id="13"/>
    </w:p>
    <w:p>
      <w:r>
        <w:rPr>
          <w:rStyle w:val="CkCaption"/>
          <w:i/>
        </w:rPr>
        <w:t>Веса ниже отражают ОТНОСИТЕЛЬНУЮ значимость рисков друг относительно друга (в сумме — 100%), а не вероятность в процентах; оценка — экспертная, по шкале от 1 (низкий риск) до 5 (высокий риск).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Риск</w:t>
            </w:r>
          </w:p>
        </w:tc>
        <w:tc>
          <w:tcPr/>
          <w:p>
            <w:r>
              <w:rPr>
                <w:b/>
              </w:rPr>
              <w:t>Вес, %</w:t>
            </w:r>
          </w:p>
        </w:tc>
        <w:tc>
          <w:tcPr/>
          <w:p>
            <w:r>
              <w:rPr>
                <w:b/>
              </w:rPr>
              <w:t>Оценка (1-5)</w:t>
            </w:r>
          </w:p>
        </w:tc>
        <w:tc>
          <w:tcPr/>
          <w:p>
            <w:r>
              <w:rPr>
                <w:b/>
              </w:rPr>
              <w:t>Взвешенный балл</w:t>
            </w:r>
          </w:p>
        </w:tc>
        <w:tc>
          <w:tcPr/>
          <w:p>
            <w:r>
              <w:rPr>
                <w:b/>
              </w:rPr>
              <w:t>Меры снижения</w:t>
            </w:r>
          </w:p>
        </w:tc>
      </w:tr>
      <w:tr>
        <w:tc>
          <w:tcPr/>
          <w:p>
            <w:r>
              <w:t>Падение экспортных цен/спроса на внешних рынках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Диверсификация рынков сбыта, часть продукции — на внутренний рынок и в страны СНГ</w:t>
            </w:r>
          </w:p>
        </w:tc>
      </w:tr>
      <w:tr>
        <w:tc>
          <w:tcPr/>
          <w:p>
            <w:r>
              <w:t>Изменение условий преференциальных экспортных режимов (GSP+, пошлины, квоты)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0,60</w:t>
            </w:r>
          </w:p>
        </w:tc>
        <w:tc>
          <w:tcPr/>
          <w:p>
            <w:r>
              <w:t>Мониторинг госпрограмм поддержки экспорта, консультации с таможенными брокерами</w:t>
            </w:r>
          </w:p>
        </w:tc>
      </w:tr>
      <w:tr>
        <w:tc>
          <w:tcPr/>
          <w:p>
            <w:r>
              <w:t>Колебания курса при импорте оборудования и части фурнитуры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Фиксация цен в договорах, закупка партиями, диверсификация поставщиков</w:t>
            </w:r>
          </w:p>
        </w:tc>
      </w:tr>
      <w:tr>
        <w:tc>
          <w:tcPr/>
          <w:p>
            <w:r>
              <w:t>Дефицит квалифицированных кадров (технологи, наладчики)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Обучение на месте, партнёрство с колледжами/техникумами</w:t>
            </w:r>
          </w:p>
        </w:tc>
      </w:tr>
      <w:tr>
        <w:tc>
          <w:tcPr/>
          <w:p>
            <w:r>
              <w:t>Задержки поставок сырья от кластера в пиковый сезон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Страховой запас сырья на 1-2 месяца, альтернативные поставщики</w:t>
            </w:r>
          </w:p>
        </w:tc>
      </w:tr>
      <w:tr>
        <w:tc>
          <w:tcPr/>
          <w:p>
            <w:r>
              <w:t>Рост цен на энергоносители и перебои электроснабжения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Энергоаудит, резервное электропитание для критичных узлов</w:t>
            </w:r>
          </w:p>
        </w:tc>
      </w:tr>
      <w:tr>
        <w:tc>
          <w:tcPr/>
          <w:p>
            <w:r>
              <w:rPr>
                <w:b/>
              </w:rPr>
              <w:t>ИТОГО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2,90 из 5</w:t>
            </w:r>
          </w:p>
        </w:tc>
        <w:tc>
          <w:tcPr/>
          <w:p/>
        </w:tc>
      </w:tr>
    </w:tbl>
    <w:p>
      <w:r>
        <w:t>Итоговая взвешенная оценка (2,9 из 5) соответствует умеренному уровню риска — типичному для экспортно-ориентированного производственного проекта в текстильной отрасли Узбекистана.</w:t>
      </w:r>
    </w:p>
    <w:p>
      <w:r>
        <w:t>[Впишите] Дополните таблицу своими рисками, специфичными для вашего проекта и региона, и пересчитайте веса.</w:t>
      </w:r>
    </w:p>
    <w:p>
      <w:pPr>
        <w:pStyle w:val="Heading2"/>
        <ck:id v="conclusion"/>
      </w:pPr>
      <w:bookmarkStart w:id="14" w:name="conclusion"/>
      <w:r>
        <w:t>Заключение</w:t>
      </w:r>
      <w:bookmarkEnd w:id="14"/>
    </w:p>
    <w:p>
      <w:r>
        <w:t>[Впишите] Краткий вывод: почему проект целесообразен, какую пользу он приносит региону/отрасли (новые рабочие места, импортозамещение, экспортная выручка), и какое решение вы просите у банка/инвестора.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Проект создаёт 41 рабочее место в Ферганской области, использует местное хлопковое сырьё и генерирует валютную выручку за счёт экспорта. При условии полного финансирования оборотного капитала на период выхода на мощность проект обеспечивает положительный денежный поток на протяжении всего первого года и окупает вложения в течение 18-19 месяцев работы на проектной мощности.</w:t>
                </w:r>
              </w:p>
            </w:tc>
          </w:tr>
        </w:tbl>
      </w:sdtContent>
    </w:sdt>
    <w:sectPr>
      <ck:section v="1:||margins=1.1in,size=letter"/>
      <w:footerReference w:type="default" r:id="rIdHf1"/>
      <w:pgSz w:w="12240" w:h="15840"/>
      <w:pgMar w:top="1584" w:right="1584" w:bottom="1584" w:left="1584" w:header="720" w:footer="720" w:gutter="0"/>
    </w:sectPr>
  </w:body>
</w:document>
</file>

<file path=word/fontTable.xml><?xml version="1.0" encoding="utf-8"?>
<w:fonts xmlns:w="http://schemas.openxmlformats.org/wordprocessingml/2006/main">
  <w:font w:name="Cambria">
    <w:family w:val="roman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r>
          <w:t xml:space="preserve">MoliyaHub · </w:t>
        </w: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cs="Cambria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mbria" w:hAnsi="Cambria"/>
      <w:b/>
      <w:color w:val="1A1A1A"/>
      <w:sz w:val="38"/>
      <w:szCs w:val="38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mbria" w:hAnsi="Cambria"/>
      <w:b/>
      <w:sz w:val="32"/>
      <w:szCs w:val="32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mbria" w:hAnsi="Cambria"/>
      <w:b/>
      <w:sz w:val="26"/>
      <w:szCs w:val="26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mbria" w:hAnsi="Cambria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mbria" w:hAnsi="Cambria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mbria" w:hAnsi="Cambria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sz w:val="46"/>
      <w:szCs w:val="46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{"kv":{"theme":"serif"},"v":1}</vt:lpwstr>
  </property>
</Properties>
</file>