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Relationship Id="rIdCustom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body>
    <w:p>
      <w:pPr>
        <w:pStyle w:val="Title"/>
        <ck:id v="section"/>
      </w:pPr>
      <w:bookmarkStart w:id="0" w:name="section"/>
      <w:r>
        <w:t>ТЕХНИКО-ЭКОНОМИЧЕСКОЕ ОБОСНОВАНИЕ ПРОЕКТА</w:t>
      </w:r>
      <w:bookmarkEnd w:id="0"/>
    </w:p>
    <w:p>
      <w:r>
        <w:rPr>
          <w:rStyle w:val="CkMuted"/>
        </w:rPr>
        <w:t>Расширенный образец (ТЭО) для отрасли «Финансовые услуги (микрокредитование)» — по структуре, близкой к банковской</w:t>
      </w:r>
    </w:p>
    <w:p>
      <w:r>
        <w:t>Наименование проекта: [впишите]</w:t>
      </w:r>
      <w:r>
        <w:br/>
      </w:r>
      <w:r>
        <w:t>Инициатор / заёмщик: [впишите]</w:t>
      </w:r>
      <w:r>
        <w:br/>
      </w:r>
      <w:r>
        <w:t>Регион реализации: [впишите]</w:t>
      </w:r>
      <w:r>
        <w:br/>
      </w:r>
      <w:r>
        <w:t>Полная стоимость проекта, сум: [впишите]</w:t>
      </w:r>
      <w:r>
        <w:br/>
      </w:r>
      <w:r>
        <w:t>Дата составления: [впишите]</w:t>
      </w:r>
    </w:p>
    <w:p>
      <w:r>
        <w:rPr>
          <w:rStyle w:val="CkCaption"/>
          <w:i/>
        </w:rPr>
        <w:t>Это расширенный образец (шаблон) MoliyaHub, построенный по структуре типового технико-экономического обоснования (ТЭО), которое банки Узбекистана обычно запрашивают при рассмотрении кредитной заявки на инвестиционный проект — с меморандумом о конфиденциальности, разделом о заёмщике, структурой финансирования, таблицей персонала и взвешенной оценкой рисков. Это НЕ более простой типовой бизнес-план (тот доступен на MoliyaHub отдельным файлом для той же отрасли) — это более полный и подробный формат для тех, кто готовит заявку сразу под требования банка. Все суммы и показатели ниже — иллюстративный пример для вымышленной компании, основанный на рыночных ориентирах 2025-2026 года и экспертных оценках порядка величины, а НЕ факт о реальной компании и не финансовая отчётность. Реквизиты заёмщика (ИНН, адрес, учредители, паспортные данные) должны быть заполнены вашими настоящими данными — образец сознательно не содержит вымышленных номеров документов, чтобы их нельзя было принять за реальные. Полная финансовая модель с рабочими формулами (16 связанных листов: смета, финансирование, амортизация, себестоимость по месяцам, график кредита, P&amp;L, рабочий капитал, поток наличности, NPV/IRR, точка безубыточности, прогнозный баланс) — в отдельном Excel-файле с тем же названием, который дополняет этот документ.</w:t>
      </w:r>
    </w:p>
    <w:p>
      <w:pPr>
        <w:pStyle w:val="Heading2"/>
        <ck:id v="confidentiality"/>
      </w:pPr>
      <w:bookmarkStart w:id="1" w:name="confidentiality"/>
      <w:r>
        <w:t>Меморандум о конфиденциальности</w:t>
      </w:r>
      <w:bookmarkEnd w:id="1"/>
    </w:p>
    <w:p>
      <w:r>
        <w:t>Настоящий документ и приложенная к нему финансовая модель содержат информацию о планируемой хозяйственной деятельности заёмщика и предназначены исключительно для рассмотрения кредитующим банком (инвестором) в целях принятия решения об участии в проекте. Документ не подлежит копированию или передаче третьим лицам без письменного согласия заёмщика, за исключением случаев, предусмотренных законодательством Республики Узбекистан. Все финансовые показатели являются прогнозными и не гарантируют фактического результата.</w:t>
      </w:r>
    </w:p>
    <w:p>
      <w:r>
        <w:t>[Впишите] При подготовке реальной заявки замените этот раздел меморандумом о конфиденциальности вашей компании либо согласуйте формулировку с юристом и требованиями конкретного банка.</w:t>
      </w:r>
    </w:p>
    <w:p>
      <w:pPr>
        <w:pStyle w:val="Heading2"/>
        <ck:id v="resume"/>
      </w:pPr>
      <w:bookmarkStart w:id="2" w:name="resume"/>
      <w:r>
        <w:t>Резюме проекта</w:t>
      </w:r>
      <w:bookmarkEnd w:id="2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МКО «AmalPay Moliya Xizmatlari» реализует проект «Запуск цифровой микрокредитной организации»: Микрокредитная организация, выдающая необеспеченные микрозаймы и услуги embedded-finance для продавцов маркетплейсов через мобильное приложение и скоринговую модель. Полная стоимость проекта — 1 200 000 000 сум, из которых 332 000 000 сум — банковский кредит на 48 месяцев под 22% годовых с льготным периодом 6 месяца(ев), остальное — собственный капитал инициатора. При выходе на проектную мощность выручка составляет 60 000 000 сум/мес; см. раздел «Финансовый план» ниже по срокам окупаемости.</w:t>
                </w:r>
              </w:p>
            </w:tc>
          </w:tr>
        </w:tbl>
      </w:sdtContent>
    </w:sdt>
    <w:p>
      <w:r>
        <w:t>[Впишите] В 5-8 предложениях: суть проекта, какую проблему решает, для кого, требуемая сумма инвестиций и на что она пойдёт, ожидаемый результат (выручка/прибыль/срок окупаемости).</w:t>
      </w:r>
    </w:p>
    <w:p>
      <w:pPr>
        <w:pStyle w:val="Heading2"/>
        <ck:id v="borrower"/>
      </w:pPr>
      <w:bookmarkStart w:id="3" w:name="borrower"/>
      <w:r>
        <w:t>Информация о заёмщике</w:t>
      </w:r>
      <w:bookmarkEnd w:id="3"/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Реквизит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Полное наименование</w:t>
            </w:r>
          </w:p>
        </w:tc>
        <w:tc>
          <w:tcPr/>
          <w:p>
            <w:r>
              <w:t>МКО «AmalPay Moliya Xizmatlari» (пример)</w:t>
            </w:r>
          </w:p>
        </w:tc>
      </w:tr>
      <w:tr>
        <w:tc>
          <w:tcPr/>
          <w:p>
            <w:r>
              <w:t>Организационно-правовая форма</w:t>
            </w:r>
          </w:p>
        </w:tc>
        <w:tc>
          <w:tcPr/>
          <w:p>
            <w:r>
              <w:t>Микрокредитная организация (МКО)</w:t>
            </w:r>
          </w:p>
        </w:tc>
      </w:tr>
      <w:tr>
        <w:tc>
          <w:tcPr/>
          <w:p>
            <w:r>
              <w:t>Регион / адрес</w:t>
            </w:r>
          </w:p>
        </w:tc>
        <w:tc>
          <w:tcPr/>
          <w:p>
            <w:r>
              <w:t>[Впишите] — юридический и фактический адрес</w:t>
            </w:r>
          </w:p>
        </w:tc>
      </w:tr>
      <w:tr>
        <w:tc>
          <w:tcPr/>
          <w:p>
            <w:r>
              <w:t>ИНН / № свидетельства о регистрации</w:t>
            </w:r>
          </w:p>
        </w:tc>
        <w:tc>
          <w:tcPr/>
          <w:p>
            <w:r>
              <w:t>[Впишите]</w:t>
            </w:r>
          </w:p>
        </w:tc>
      </w:tr>
      <w:tr>
        <w:tc>
          <w:tcPr/>
          <w:p>
            <w:r>
              <w:t>Учредители и доли</w:t>
            </w:r>
          </w:p>
        </w:tc>
        <w:tc>
          <w:tcPr/>
          <w:p>
            <w:r>
              <w:t>[Впишите] — Ф.И.О. / наименование, доли участия</w:t>
            </w:r>
          </w:p>
        </w:tc>
      </w:tr>
      <w:tr>
        <w:tc>
          <w:tcPr/>
          <w:p>
            <w:r>
              <w:t>Основной вид деятельности</w:t>
            </w:r>
          </w:p>
        </w:tc>
        <w:tc>
          <w:tcPr/>
          <w:p>
            <w:r>
              <w:t>Финансовые услуги (микрокредитование)</w:t>
            </w:r>
          </w:p>
        </w:tc>
      </w:tr>
      <w:tr>
        <w:tc>
          <w:tcPr/>
          <w:p>
            <w:r>
              <w:t>Дата государственной регистрации</w:t>
            </w:r>
          </w:p>
        </w:tc>
        <w:tc>
          <w:tcPr/>
          <w:p>
            <w:r>
              <w:t>[Впишите]</w:t>
            </w:r>
          </w:p>
        </w:tc>
      </w:tr>
      <w:tr>
        <w:tc>
          <w:tcPr/>
          <w:p>
            <w:r>
              <w:t>Руководитель</w:t>
            </w:r>
          </w:p>
        </w:tc>
        <w:tc>
          <w:tcPr/>
          <w:p>
            <w:r>
              <w:t>[Впишите] — Ф.И.О., должность</w:t>
            </w:r>
          </w:p>
        </w:tc>
      </w:tr>
      <w:tr>
        <w:tc>
          <w:tcPr/>
          <w:p>
            <w:r>
              <w:t>Банковские реквизиты</w:t>
            </w:r>
          </w:p>
        </w:tc>
        <w:tc>
          <w:tcPr/>
          <w:p>
            <w:r>
              <w:t>[Впишите] — обслуживающий банк, расчётный счёт</w:t>
            </w:r>
          </w:p>
        </w:tc>
      </w:tr>
    </w:tbl>
    <w:p>
      <w:r>
        <w:t>[Впишите] Реквизиты выше — не заполняйте вымышленными номерами: используйте настоящие данные вашей организации при подаче в банк.</w:t>
      </w:r>
    </w:p>
    <w:p>
      <w:pPr>
        <w:pStyle w:val="Heading2"/>
        <ck:id v="project-description"/>
      </w:pPr>
      <w:bookmarkStart w:id="4" w:name="project_description"/>
      <w:r>
        <w:t>Описание проекта</w:t>
      </w:r>
      <w:bookmarkEnd w:id="4"/>
    </w:p>
    <w:p>
      <w:r>
        <w:t>[Впишите] Организационно-правовая форма, текущий статус проекта (идея / действующий бизнес / расширение), уникальное торговое предложение, этапы реализации.</w:t>
      </w:r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(1) лицензирование деятельности МФО и разработка IT-платформы/скоринга — месяцы 1-3; (2) формирование стартового кредитного портфеля и первые партнёрства с маркетплейсами — месяцы 3-5; (3) выход на плановый объём выдачи и оборачиваемость портфеля — с 6-го месяца.</w:t>
                </w:r>
              </w:p>
            </w:tc>
          </w:tr>
        </w:tbl>
      </w:sdtContent>
    </w:sdt>
    <w:p>
      <w:pPr>
        <w:pStyle w:val="Heading2"/>
        <ck:id v="market"/>
      </w:pPr>
      <w:bookmarkStart w:id="5" w:name="market"/>
      <w:r>
        <w:t>Анализ рынка: Финансовые услуги (микрокредитование)</w:t>
      </w:r>
      <w:bookmarkEnd w:id="5"/>
    </w:p>
    <w:p>
      <w:pPr>
        <w:pStyle w:val="ListParagraph"/>
        <w:numPr>
          <w:ilvl w:val="0"/>
          <w:numId w:val="1"/>
        </w:numPr>
      </w:pPr>
      <w:r>
        <w:t>В Узбекистане активно развивается финтех-экосистема на фоне роста цифровых платежей — ЦБ регулирует и поддерживает цифровизацию платёжной инфраструктуры (Uzcard, Humo) (uzdaily.uz).</w:t>
      </w:r>
    </w:p>
    <w:p>
      <w:pPr>
        <w:pStyle w:val="ListParagraph"/>
        <w:numPr>
          <w:ilvl w:val="0"/>
          <w:numId w:val="1"/>
        </w:numPr>
      </w:pPr>
      <w:r>
        <w:t>По оценке Азиатского банка развития, перед Узбекистаном стоит задача превратить цифровые финансы в реальные накопления населения и доступ к капиталу для МСБ (uzdaily.uz).</w:t>
      </w:r>
    </w:p>
    <w:p>
      <w:pPr>
        <w:pStyle w:val="ListParagraph"/>
        <w:numPr>
          <w:ilvl w:val="0"/>
          <w:numId w:val="1"/>
        </w:numPr>
      </w:pPr>
      <w:r>
        <w:t>Растёт проникновение мобильного банкинга среди населения и бизнеса в крупных городах — в регионах доступ к цифровым финансовым услугам ниже, что создаёт нишу для локализованных продуктов.</w:t>
      </w:r>
    </w:p>
    <w:p>
      <w:pPr>
        <w:pStyle w:val="ListParagraph"/>
        <w:numPr>
          <w:ilvl w:val="0"/>
          <w:numId w:val="1"/>
        </w:numPr>
      </w:pPr>
      <w:r>
        <w:t>Растущий спрос МСБ на микрофинансирование, особенно в регионах с ограниченным доступом к банковским услугам; деятельность МФО подлежит лицензированию и надзору ЦБ РУз, включая потолок совокупной переплаты по займу (≤50% годовых с апр. 2025).</w:t>
      </w:r>
    </w:p>
    <w:p>
      <w:pPr>
        <w:pStyle w:val="ListParagraph"/>
        <w:numPr>
          <w:ilvl w:val="0"/>
          <w:numId w:val="1"/>
        </w:numPr>
      </w:pPr>
      <w:r>
        <w:t>Для сравнения: Казахстан и Россия имеют более зрелые финтех-рынки (Kaspi.kz, Тинькофф) — узбекский рынок ещё формируется, что означает менее отработанную нормативную базу и более высокую регуляторную неопределённость.</w:t>
      </w:r>
    </w:p>
    <w:p>
      <w:pPr>
        <w:pStyle w:val="ListParagraph"/>
        <w:numPr>
          <w:ilvl w:val="0"/>
          <w:numId w:val="1"/>
        </w:numPr>
      </w:pPr>
      <w:r>
        <w:t>[Впишите] Уточните актуальные объёмы рынка, цены и конкурентов в вашем конкретном сегменте и регионе по данным отраслевой статистики и профильных ассоциаций.</w:t>
      </w:r>
    </w:p>
    <w:p>
      <w:pPr>
        <w:pStyle w:val="Heading3"/>
        <ck:id v="section-1"/>
      </w:pPr>
      <w:bookmarkStart w:id="6" w:name="section_1"/>
      <w:r>
        <w:t>Конкуренты</w:t>
      </w:r>
      <w:bookmarkEnd w:id="6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 — вымышленные компании для иллюстрации формата таблицы</w:t>
                </w:r>
              </w:p>
              <w:tbl>
                <w:tblPr>
                  <w:tblStyle w:val="CkTable"/>
                  <w:tblW w:w="0" w:type="auto"/>
                  <w:tblLayout w:type="autofit"/>
                  <w:tblLook w:firstRow="1" w:lastRow="0" w:firstColumn="0" w:lastColumn="0" w:noHBand="0" w:noVBand="1"/>
                </w:tblPr>
                <w:tblGrid>
                  <w:gridCol/>
                  <w:gridCol/>
                  <w:gridCol/>
                  <w:gridCol/>
                </w:tblGrid>
                <w:tr>
                  <w:trPr>
                    <w:tblHeader/>
                  </w:trPr>
                  <w:tc>
                    <w:tcPr/>
                    <w:p>
                      <w:r>
                        <w:rPr>
                          <w:b/>
                        </w:rPr>
                        <w:t>Конкурент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Профиль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Сильные стороны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Слабые стороны</w:t>
                      </w:r>
                    </w:p>
                  </w:tc>
                </w:tr>
                <w:tr>
                  <w:tc>
                    <w:tcPr/>
                    <w:p>
                      <w:r>
                        <w:t>МФО «QulayQarz»</w:t>
                      </w:r>
                    </w:p>
                  </w:tc>
                  <w:tc>
                    <w:tcPr/>
                    <w:p>
                      <w:r>
                        <w:t>микрозаймы предпринимателям через приложение со скоринг-моделью</w:t>
                      </w:r>
                    </w:p>
                  </w:tc>
                  <w:tc>
                    <w:tcPr/>
                    <w:p>
                      <w:r>
                        <w:t>устоявшаяся скоринговая модель, узнаваемость бренда</w:t>
                      </w:r>
                    </w:p>
                  </w:tc>
                  <w:tc>
                    <w:tcPr/>
                    <w:p>
                      <w:r>
                        <w:t>зависимость от одного продукта (микрозаймы)</w:t>
                      </w:r>
                    </w:p>
                  </w:tc>
                </w:tr>
                <w:tr>
                  <w:tc>
                    <w:tcPr/>
                    <w:p>
                      <w:r>
                        <w:t>МФО «TezKredit»</w:t>
                      </w:r>
                    </w:p>
                  </w:tc>
                  <w:tc>
                    <w:tcPr/>
                    <w:p>
                      <w:r>
                        <w:t>экспресс-микрозаймы физлицам через отделения и приложение</w:t>
                      </w:r>
                    </w:p>
                  </w:tc>
                  <w:tc>
                    <w:tcPr/>
                    <w:p>
                      <w:r>
                        <w:t>широкая розничная сеть</w:t>
                      </w:r>
                    </w:p>
                  </w:tc>
                  <w:tc>
                    <w:tcPr/>
                    <w:p>
                      <w:r>
                        <w:t>выше стоимость привлечения клиента</w:t>
                      </w:r>
                    </w:p>
                  </w:tc>
                </w:tr>
                <w:tr>
                  <w:tc>
                    <w:tcPr/>
                    <w:p>
                      <w:r>
                        <w:t>Платёжный сервис «PayXizmat»</w:t>
                      </w:r>
                    </w:p>
                  </w:tc>
                  <w:tc>
                    <w:tcPr/>
                    <w:p>
                      <w:r>
                        <w:t>embedded-платежи и рассрочка для маркетплейсов</w:t>
                      </w:r>
                    </w:p>
                  </w:tc>
                  <w:tc>
                    <w:tcPr/>
                    <w:p>
                      <w:r>
                        <w:t>прямая интеграция с крупными маркетплейсами</w:t>
                      </w:r>
                    </w:p>
                  </w:tc>
                  <w:tc>
                    <w:tcPr/>
                    <w:p>
                      <w:r>
                        <w:t>не предлагает кредитование оборотных средств бизнеса</w:t>
                      </w:r>
                    </w:p>
                  </w:tc>
                </w:tr>
                <w:tr>
                  <w:tc>
                    <w:tcPr/>
                    <w:p>
                      <w:r>
                        <w:t>МКО «Ishonch Moliya»</w:t>
                      </w:r>
                    </w:p>
                  </w:tc>
                  <w:tc>
                    <w:tcPr/>
                    <w:p>
                      <w:r>
                        <w:t>микрокредитование фермеров и малого бизнеса в регионах</w:t>
                      </w:r>
                    </w:p>
                  </w:tc>
                  <w:tc>
                    <w:tcPr/>
                    <w:p>
                      <w:r>
                        <w:t>региональное присутствие, знание местной клиентуры</w:t>
                      </w:r>
                    </w:p>
                  </w:tc>
                  <w:tc>
                    <w:tcPr/>
                    <w:p>
                      <w:r>
                        <w:t>менее развитая цифровая платформа</w:t>
                      </w:r>
                    </w:p>
                  </w:tc>
                </w:tr>
              </w:tbl>
              <w:p/>
            </w:tc>
          </w:tr>
        </w:tbl>
      </w:sdtContent>
    </w:sdt>
    <w:p>
      <w:r>
        <w:t>[Впишите] Список из 3-5 РЕАЛЬНЫХ прямых конкурентов вашего проекта (компании выше — вымышленный пример для иллюстрации формата), их сильные и слабые стороны, чем вы отличаетесь.</w:t>
      </w:r>
    </w:p>
    <w:p>
      <w:pPr>
        <w:pStyle w:val="Heading3"/>
        <ck:id v="section-2"/>
      </w:pPr>
      <w:bookmarkStart w:id="7" w:name="section_2"/>
      <w:r>
        <w:t>Конкурентный ответ</w:t>
      </w:r>
      <w:bookmarkEnd w:id="7"/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Фактор конкуренции</w:t>
            </w:r>
          </w:p>
        </w:tc>
        <w:tc>
          <w:tcPr/>
          <w:p>
            <w:r>
              <w:rPr>
                <w:b/>
              </w:rPr>
              <w:t>Подход компании</w:t>
            </w:r>
          </w:p>
        </w:tc>
      </w:tr>
      <w:tr>
        <w:tc>
          <w:tcPr/>
          <w:p>
            <w:r>
              <w:t>Ниша</w:t>
            </w:r>
          </w:p>
        </w:tc>
        <w:tc>
          <w:tcPr/>
          <w:p>
            <w:r>
              <w:t>необеспеченные микрозаймы + embedded finance для продавцов маркетплейсов — недопокрытый сегмент</w:t>
            </w:r>
          </w:p>
        </w:tc>
      </w:tr>
      <w:tr>
        <w:tc>
          <w:tcPr/>
          <w:p>
            <w:r>
              <w:t>Скорость</w:t>
            </w:r>
          </w:p>
        </w:tc>
        <w:tc>
          <w:tcPr/>
          <w:p>
            <w:r>
              <w:t>скоринг на транзакционных данных вместо традиционного залогового кредитования</w:t>
            </w:r>
          </w:p>
        </w:tc>
      </w:tr>
      <w:tr>
        <w:tc>
          <w:tcPr/>
          <w:p>
            <w:r>
              <w:t>Партнёрства</w:t>
            </w:r>
          </w:p>
        </w:tc>
        <w:tc>
          <w:tcPr/>
          <w:p>
            <w:r>
              <w:t>встроенное кредитование через 2-3 маркетплейса снижает стоимость привлечения клиента</w:t>
            </w:r>
          </w:p>
        </w:tc>
      </w:tr>
    </w:tbl>
    <w:p>
      <w:pPr>
        <w:pStyle w:val="Heading3"/>
        <ck:id v="section-3"/>
      </w:pPr>
      <w:bookmarkStart w:id="8" w:name="section_3"/>
      <w:r>
        <w:t>Целевая аудитория</w:t>
      </w:r>
      <w:bookmarkEnd w:id="8"/>
    </w:p>
    <w:p>
      <w:r>
        <w:t>[Впишите] Портрет основного клиента. Пример: Индивидуальные предприниматели и небольшие продавцы маркетплейсов, нуждающиеся в быстром пополнении оборотных средств без залога; для них важны скорость одобрения, прозрачные условия и интеграция в привычный канал (приложение маркетплейса).</w:t>
      </w:r>
    </w:p>
    <w:p>
      <w:pPr>
        <w:pStyle w:val="Heading2"/>
        <ck:id v="marketing"/>
      </w:pPr>
      <w:bookmarkStart w:id="9" w:name="marketing"/>
      <w:r>
        <w:t>Маркетинговый план</w:t>
      </w:r>
      <w:bookmarkEnd w:id="9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Продвижение — партнёрство с 2-3 маркетплейсами и поставщиками для встроенного кредитования (embedded finance) их продавцов, таргетированная реклама в соцсетях для предпринимателей, реферальная программа для существующих клиентов.</w:t>
                </w:r>
              </w:p>
            </w:tc>
          </w:tr>
        </w:tbl>
      </w:sdtContent>
    </w:sdt>
    <w:p>
      <w:r>
        <w:t>[Впишите] Ценообразование, каналы продвижения и продаж, план привлечения первых клиентов.</w:t>
      </w:r>
    </w:p>
    <w:p>
      <w:pPr>
        <w:pStyle w:val="Heading2"/>
        <ck:id v="org"/>
      </w:pPr>
      <w:bookmarkStart w:id="10" w:name="org"/>
      <w:r>
        <w:t>Организационный план и персонал</w:t>
      </w:r>
      <w:bookmarkEnd w:id="10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Директор, риск-менеджер и комплаенс-офицер (административный/риск-блок), 2 менеджера по работе с клиентами (производственный персонал). Форма — ООО с лицензией МФО от ЦБ РУз.</w:t>
                </w:r>
              </w:p>
            </w:tc>
          </w:tr>
        </w:tbl>
      </w:sdtContent>
    </w:sdt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Должность</w:t>
            </w:r>
          </w:p>
        </w:tc>
        <w:tc>
          <w:tcPr/>
          <w:p>
            <w:r>
              <w:rPr>
                <w:b/>
              </w:rPr>
              <w:t>Кол-во, чел.</w:t>
            </w:r>
          </w:p>
        </w:tc>
        <w:tc>
          <w:tcPr/>
          <w:p>
            <w:r>
              <w:rPr>
                <w:b/>
              </w:rPr>
              <w:t>Оклад, сум/мес</w:t>
            </w:r>
          </w:p>
        </w:tc>
        <w:tc>
          <w:tcPr/>
          <w:p>
            <w:r>
              <w:rPr>
                <w:b/>
              </w:rPr>
              <w:t>ФОТ, сум/мес</w:t>
            </w:r>
          </w:p>
        </w:tc>
        <w:tc>
          <w:tcPr/>
          <w:p>
            <w:r>
              <w:rPr>
                <w:b/>
              </w:rPr>
              <w:t>Категория</w:t>
            </w:r>
          </w:p>
        </w:tc>
      </w:tr>
      <w:tr>
        <w:tc>
          <w:tcPr/>
          <w:p>
            <w:r>
              <w:t>Директор</w:t>
            </w:r>
          </w:p>
        </w:tc>
        <w:tc>
          <w:tcPr/>
          <w:p>
            <w:r>
              <w:t>1</w:t>
            </w:r>
          </w:p>
        </w:tc>
        <w:tc>
          <w:tcPr/>
          <w:p>
            <w:r>
              <w:t>10 000 000</w:t>
            </w:r>
          </w:p>
        </w:tc>
        <w:tc>
          <w:tcPr/>
          <w:p>
            <w:r>
              <w:t>10 000 000</w:t>
            </w:r>
          </w:p>
        </w:tc>
        <w:tc>
          <w:tcPr/>
          <w:p>
            <w:r>
              <w:t>Административный</w:t>
            </w:r>
          </w:p>
        </w:tc>
      </w:tr>
      <w:tr>
        <w:tc>
          <w:tcPr/>
          <w:p>
            <w:r>
              <w:t>Риск-менеджер</w:t>
            </w:r>
          </w:p>
        </w:tc>
        <w:tc>
          <w:tcPr/>
          <w:p>
            <w:r>
              <w:t>1</w:t>
            </w:r>
          </w:p>
        </w:tc>
        <w:tc>
          <w:tcPr/>
          <w:p>
            <w:r>
              <w:t>7 000 000</w:t>
            </w:r>
          </w:p>
        </w:tc>
        <w:tc>
          <w:tcPr/>
          <w:p>
            <w:r>
              <w:t>7 000 000</w:t>
            </w:r>
          </w:p>
        </w:tc>
        <w:tc>
          <w:tcPr/>
          <w:p>
            <w:r>
              <w:t>Административный</w:t>
            </w:r>
          </w:p>
        </w:tc>
      </w:tr>
      <w:tr>
        <w:tc>
          <w:tcPr/>
          <w:p>
            <w:r>
              <w:t>Комплаенс-офицер</w:t>
            </w:r>
          </w:p>
        </w:tc>
        <w:tc>
          <w:tcPr/>
          <w:p>
            <w:r>
              <w:t>1</w:t>
            </w:r>
          </w:p>
        </w:tc>
        <w:tc>
          <w:tcPr/>
          <w:p>
            <w:r>
              <w:t>6 000 000</w:t>
            </w:r>
          </w:p>
        </w:tc>
        <w:tc>
          <w:tcPr/>
          <w:p>
            <w:r>
              <w:t>6 000 000</w:t>
            </w:r>
          </w:p>
        </w:tc>
        <w:tc>
          <w:tcPr/>
          <w:p>
            <w:r>
              <w:t>Административный</w:t>
            </w:r>
          </w:p>
        </w:tc>
      </w:tr>
      <w:tr>
        <w:tc>
          <w:tcPr/>
          <w:p>
            <w:r>
              <w:t>Менеджеры по работе с клиентами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3 500 000</w:t>
            </w:r>
          </w:p>
        </w:tc>
        <w:tc>
          <w:tcPr/>
          <w:p>
            <w:r>
              <w:t>7 000 000</w:t>
            </w:r>
          </w:p>
        </w:tc>
        <w:tc>
          <w:tcPr/>
          <w:p>
            <w:r>
              <w:t>Производственный</w:t>
            </w:r>
          </w:p>
        </w:tc>
      </w:tr>
      <w:tr>
        <w:tc>
          <w:tcPr/>
          <w:p>
            <w:r>
              <w:rPr>
                <w:b/>
              </w:rPr>
              <w:t>Итого персонал</w:t>
            </w:r>
          </w:p>
        </w:tc>
        <w:tc>
          <w:tcPr/>
          <w:p>
            <w:r>
              <w:rPr>
                <w:b/>
              </w:rPr>
              <w:t>5</w:t>
            </w:r>
          </w:p>
        </w:tc>
        <w:tc>
          <w:tcPr/>
          <w:p/>
        </w:tc>
        <w:tc>
          <w:tcPr/>
          <w:p>
            <w:r>
              <w:rPr>
                <w:b/>
              </w:rPr>
              <w:t>30 000 000</w:t>
            </w:r>
          </w:p>
        </w:tc>
        <w:tc>
          <w:tcPr/>
          <w:p/>
        </w:tc>
      </w:tr>
      <w:tr>
        <w:tc>
          <w:tcPr/>
          <w:p>
            <w:r>
              <w:t>ЕСП (единый социальный платёж, 12% от ФОТ)</w:t>
            </w:r>
          </w:p>
        </w:tc>
        <w:tc>
          <w:tcPr/>
          <w:p/>
        </w:tc>
        <w:tc>
          <w:tcPr/>
          <w:p/>
        </w:tc>
        <w:tc>
          <w:tcPr/>
          <w:p>
            <w:r>
              <w:t>3 600 000</w:t>
            </w:r>
          </w:p>
        </w:tc>
        <w:tc>
          <w:tcPr/>
          <w:p/>
        </w:tc>
      </w:tr>
      <w:tr>
        <w:tc>
          <w:tcPr/>
          <w:p>
            <w:r>
              <w:rPr>
                <w:b/>
              </w:rPr>
              <w:t>Итого ФОТ с ЕСП, сум/мес</w:t>
            </w:r>
          </w:p>
        </w:tc>
        <w:tc>
          <w:tcPr/>
          <w:p/>
        </w:tc>
        <w:tc>
          <w:tcPr/>
          <w:p/>
        </w:tc>
        <w:tc>
          <w:tcPr/>
          <w:p>
            <w:r>
              <w:rPr>
                <w:b/>
              </w:rPr>
              <w:t>33 600 000</w:t>
            </w:r>
          </w:p>
        </w:tc>
        <w:tc>
          <w:tcPr/>
          <w:p/>
        </w:tc>
      </w:tr>
    </w:tbl>
    <w:p>
      <w:r>
        <w:t>[Впишите] Штатное расписание, оклады и организационно-правовая форма вашей компании.</w:t>
      </w:r>
    </w:p>
    <w:p>
      <w:pPr>
        <w:pStyle w:val="Heading2"/>
        <ck:id v="financing"/>
      </w:pPr>
      <w:bookmarkStart w:id="11" w:name="financing"/>
      <w:r>
        <w:t>Смета проекта и структура финансирования</w:t>
      </w:r>
      <w:bookmarkEnd w:id="11"/>
    </w:p>
    <w:p>
      <w:r>
        <w:rPr>
          <w:b/>
        </w:rPr>
        <w:t>Смета проекта (стартовые инвестиции)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Статья затрат</w:t>
            </w:r>
          </w:p>
        </w:tc>
        <w:tc>
          <w:tcPr/>
          <w:p>
            <w:r>
              <w:rPr>
                <w:b/>
              </w:rPr>
              <w:t>Сумма, сум</w:t>
            </w:r>
          </w:p>
        </w:tc>
        <w:tc>
          <w:tcPr/>
          <w:p>
            <w:r>
              <w:rPr>
                <w:b/>
              </w:rPr>
              <w:t>Тип актива</w:t>
            </w:r>
          </w:p>
        </w:tc>
      </w:tr>
      <w:tr>
        <w:tc>
          <w:tcPr/>
          <w:p>
            <w:r>
              <w:t>IT-платформа / приложение</w:t>
            </w:r>
          </w:p>
        </w:tc>
        <w:tc>
          <w:tcPr/>
          <w:p>
            <w:r>
              <w:t>190 000 000</w:t>
            </w:r>
          </w:p>
        </w:tc>
        <w:tc>
          <w:tcPr/>
          <w:p>
            <w:r>
              <w:t>Основные средства</w:t>
            </w:r>
          </w:p>
        </w:tc>
      </w:tr>
      <w:tr>
        <w:tc>
          <w:tcPr/>
          <w:p>
            <w:r>
              <w:t>Комплаенс и AML/KYC-системы</w:t>
            </w:r>
          </w:p>
        </w:tc>
        <w:tc>
          <w:tcPr/>
          <w:p>
            <w:r>
              <w:t>50 000 000</w:t>
            </w:r>
          </w:p>
        </w:tc>
        <w:tc>
          <w:tcPr/>
          <w:p>
            <w:r>
              <w:t>Основные средства</w:t>
            </w:r>
          </w:p>
        </w:tc>
      </w:tr>
      <w:tr>
        <w:tc>
          <w:tcPr/>
          <w:p>
            <w:r>
              <w:t>Офис и оборудование</w:t>
            </w:r>
          </w:p>
        </w:tc>
        <w:tc>
          <w:tcPr/>
          <w:p>
            <w:r>
              <w:t>92 000 000</w:t>
            </w:r>
          </w:p>
        </w:tc>
        <w:tc>
          <w:tcPr/>
          <w:p>
            <w:r>
              <w:t>Основные средства</w:t>
            </w:r>
          </w:p>
        </w:tc>
      </w:tr>
      <w:tr>
        <w:tc>
          <w:tcPr/>
          <w:p>
            <w:r>
              <w:t>Лицензирование деятельности</w:t>
            </w:r>
          </w:p>
        </w:tc>
        <w:tc>
          <w:tcPr/>
          <w:p>
            <w:r>
              <w:t>18 000 000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Капитал для выдачи первых займов</w:t>
            </w:r>
          </w:p>
        </w:tc>
        <w:tc>
          <w:tcPr/>
          <w:p>
            <w:r>
              <w:t>850 000 000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Итого основные средства</w:t>
            </w:r>
          </w:p>
        </w:tc>
        <w:tc>
          <w:tcPr/>
          <w:p>
            <w:r>
              <w:rPr>
                <w:b/>
              </w:rPr>
              <w:t>332 000 000</w:t>
            </w:r>
          </w:p>
        </w:tc>
        <w:tc>
          <w:tcPr/>
          <w:p/>
        </w:tc>
      </w:tr>
      <w:tr>
        <w:tc>
          <w:tcPr/>
          <w:p>
            <w:r>
              <w:t>Итого оборотные средства</w:t>
            </w:r>
          </w:p>
        </w:tc>
        <w:tc>
          <w:tcPr/>
          <w:p>
            <w:r>
              <w:rPr>
                <w:b/>
              </w:rPr>
              <w:t>868 000 000</w:t>
            </w:r>
          </w:p>
        </w:tc>
        <w:tc>
          <w:tcPr/>
          <w:p/>
        </w:tc>
      </w:tr>
      <w:tr>
        <w:tc>
          <w:tcPr/>
          <w:p>
            <w:r>
              <w:rPr>
                <w:b/>
              </w:rPr>
              <w:t>ИТОГО СМЕТА ПРОЕКТА</w:t>
            </w:r>
          </w:p>
        </w:tc>
        <w:tc>
          <w:tcPr/>
          <w:p>
            <w:r>
              <w:rPr>
                <w:b/>
              </w:rPr>
              <w:t>1 200 000 000</w:t>
            </w:r>
          </w:p>
        </w:tc>
        <w:tc>
          <w:tcPr/>
          <w:p/>
        </w:tc>
      </w:tr>
    </w:tbl>
    <w:p>
      <w:r>
        <w:rPr>
          <w:rStyle w:val="CkCaption"/>
          <w:i/>
        </w:rPr>
        <w:t>В этом примере расчётная величина дополнительного финансирования оборотного капитала на выход на мощность равна нулю — стартовых статей ниже (плюс условия кредита: льготный период 6 мес.) достаточно, чтобы денежный поток оставался положительным весь Год 1 без дополнительного пополнения (см. лист «Поток наличности» в Excel).</w:t>
      </w:r>
    </w:p>
    <w:p>
      <w:r>
        <w:rPr>
          <w:b/>
        </w:rPr>
        <w:t>Структура финансирования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Источник</w:t>
            </w:r>
          </w:p>
        </w:tc>
        <w:tc>
          <w:tcPr/>
          <w:p>
            <w:r>
              <w:rPr>
                <w:b/>
              </w:rPr>
              <w:t>Сумма, сум</w:t>
            </w:r>
          </w:p>
        </w:tc>
        <w:tc>
          <w:tcPr/>
          <w:p>
            <w:r>
              <w:rPr>
                <w:b/>
              </w:rPr>
              <w:t>Доля, %</w:t>
            </w:r>
          </w:p>
        </w:tc>
      </w:tr>
      <w:tr>
        <w:tc>
          <w:tcPr/>
          <w:p>
            <w:r>
              <w:t>Банковский кредит</w:t>
            </w:r>
          </w:p>
        </w:tc>
        <w:tc>
          <w:tcPr/>
          <w:p>
            <w:r>
              <w:t>332 000 000</w:t>
            </w:r>
          </w:p>
        </w:tc>
        <w:tc>
          <w:tcPr/>
          <w:p>
            <w:r>
              <w:t>27,4%</w:t>
            </w:r>
          </w:p>
        </w:tc>
      </w:tr>
      <w:tr>
        <w:tc>
          <w:tcPr/>
          <w:p>
            <w:r>
              <w:t>Собственный капитал инициатора</w:t>
            </w:r>
          </w:p>
        </w:tc>
        <w:tc>
          <w:tcPr/>
          <w:p>
            <w:r>
              <w:t>878 300 000</w:t>
            </w:r>
          </w:p>
        </w:tc>
        <w:tc>
          <w:tcPr/>
          <w:p>
            <w:r>
              <w:t>72,6%</w:t>
            </w:r>
          </w:p>
        </w:tc>
      </w:tr>
      <w:tr>
        <w:tc>
          <w:tcPr/>
          <w:p>
            <w:r>
              <w:rPr>
                <w:b/>
              </w:rPr>
              <w:t>ИТОГО ПОТРЕБНОСТЬ В ФИНАНСИРОВАНИИ</w:t>
            </w:r>
          </w:p>
        </w:tc>
        <w:tc>
          <w:tcPr/>
          <w:p>
            <w:r>
              <w:rPr>
                <w:b/>
              </w:rPr>
              <w:t>1 210 300 000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</w:tr>
    </w:tbl>
    <w:p>
      <w:r>
        <w:rPr>
          <w:b/>
        </w:rPr>
        <w:t>Условия кредита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Параметр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Сумма кредита</w:t>
            </w:r>
          </w:p>
        </w:tc>
        <w:tc>
          <w:tcPr/>
          <w:p>
            <w:r>
              <w:t>332 000 000 сум</w:t>
            </w:r>
          </w:p>
        </w:tc>
      </w:tr>
      <w:tr>
        <w:tc>
          <w:tcPr/>
          <w:p>
            <w:r>
              <w:t>Срок</w:t>
            </w:r>
          </w:p>
        </w:tc>
        <w:tc>
          <w:tcPr/>
          <w:p>
            <w:r>
              <w:t>48 месяцев</w:t>
            </w:r>
          </w:p>
        </w:tc>
      </w:tr>
      <w:tr>
        <w:tc>
          <w:tcPr/>
          <w:p>
            <w:r>
              <w:t>Процентная ставка</w:t>
            </w:r>
          </w:p>
        </w:tc>
        <w:tc>
          <w:tcPr/>
          <w:p>
            <w:r>
              <w:t>22% годовых</w:t>
            </w:r>
          </w:p>
        </w:tc>
      </w:tr>
      <w:tr>
        <w:tc>
          <w:tcPr/>
          <w:p>
            <w:r>
              <w:t>Льготный период (уплата только процентов)</w:t>
            </w:r>
          </w:p>
        </w:tc>
        <w:tc>
          <w:tcPr/>
          <w:p>
            <w:r>
              <w:t>6 месяца(ев)</w:t>
            </w:r>
          </w:p>
        </w:tc>
      </w:tr>
      <w:tr>
        <w:tc>
          <w:tcPr/>
          <w:p>
            <w:r>
              <w:t>Порядок погашения основного долга</w:t>
            </w:r>
          </w:p>
        </w:tc>
        <w:tc>
          <w:tcPr/>
          <w:p>
            <w:r>
              <w:t>равными долями после льготного периода</w:t>
            </w:r>
          </w:p>
        </w:tc>
      </w:tr>
      <w:tr>
        <w:tc>
          <w:tcPr/>
          <w:p>
            <w:r>
              <w:t>Разовые сборы (комиссия банка 1,5%, нотариальное оформление залога, страхование залога 1%)</w:t>
            </w:r>
          </w:p>
        </w:tc>
        <w:tc>
          <w:tcPr/>
          <w:p>
            <w:r>
              <w:t>10 300 000 сум</w:t>
            </w:r>
          </w:p>
        </w:tc>
      </w:tr>
    </w:tbl>
    <w:p>
      <w:r>
        <w:t>[Впишите] Замените суммы, условия кредита и долю собственного капитала на данные вашего проекта — банк оценивает прежде всего долю собственного участия заёмщика и достаточность залогового обеспечения.</w:t>
      </w:r>
    </w:p>
    <w:p>
      <w:pPr>
        <w:pStyle w:val="Heading2"/>
        <ck:id v="financial-plan"/>
      </w:pPr>
      <w:bookmarkStart w:id="12" w:name="financial_plan"/>
      <w:r>
        <w:t>Финансовый план</w:t>
      </w:r>
      <w:bookmarkEnd w:id="12"/>
    </w:p>
    <w:p>
      <w:r>
        <w:rPr>
          <w:rStyle w:val="CkCaption"/>
          <w:i/>
        </w:rPr>
        <w:t>Показатели ниже рассчитаны в приложенном Excel-файле по формулам и приведены здесь для удобства чтения; при изменении исходных данных в Excel все цифры пересчитаются автоматически.</w:t>
      </w:r>
    </w:p>
    <w:p>
      <w:r>
        <w:rPr>
          <w:b/>
        </w:rPr>
        <w:t>Выручка при выходе на проектную мощность (сум/мес)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Канал сбыта</w:t>
            </w:r>
          </w:p>
        </w:tc>
        <w:tc>
          <w:tcPr/>
          <w:p>
            <w:r>
              <w:rPr>
                <w:b/>
              </w:rPr>
              <w:t>Доля</w:t>
            </w:r>
          </w:p>
        </w:tc>
        <w:tc>
          <w:tcPr/>
          <w:p>
            <w:r>
              <w:rPr>
                <w:b/>
              </w:rPr>
              <w:t>Сумма, сум/мес</w:t>
            </w:r>
          </w:p>
        </w:tc>
      </w:tr>
      <w:tr>
        <w:tc>
          <w:tcPr/>
          <w:p>
            <w:r>
              <w:t>Процентный доход по займам/лизингу</w:t>
            </w:r>
          </w:p>
        </w:tc>
        <w:tc>
          <w:tcPr/>
          <w:p>
            <w:r>
              <w:t>59%</w:t>
            </w:r>
          </w:p>
        </w:tc>
        <w:tc>
          <w:tcPr/>
          <w:p>
            <w:r>
              <w:t>35 500 000</w:t>
            </w:r>
          </w:p>
        </w:tc>
      </w:tr>
      <w:tr>
        <w:tc>
          <w:tcPr/>
          <w:p>
            <w:r>
              <w:t>Комиссии за транзакции/обслуживание</w:t>
            </w:r>
          </w:p>
        </w:tc>
        <w:tc>
          <w:tcPr/>
          <w:p>
            <w:r>
              <w:t>14%</w:t>
            </w:r>
          </w:p>
        </w:tc>
        <w:tc>
          <w:tcPr/>
          <w:p>
            <w:r>
              <w:t>8 500 000</w:t>
            </w:r>
          </w:p>
        </w:tc>
      </w:tr>
      <w:tr>
        <w:tc>
          <w:tcPr/>
          <w:p>
            <w:r>
              <w:t>Партнёрские комиссии (embedded finance)</w:t>
            </w:r>
          </w:p>
        </w:tc>
        <w:tc>
          <w:tcPr/>
          <w:p>
            <w:r>
              <w:t>27%</w:t>
            </w:r>
          </w:p>
        </w:tc>
        <w:tc>
          <w:tcPr/>
          <w:p>
            <w:r>
              <w:t>16 000 000</w:t>
            </w:r>
          </w:p>
        </w:tc>
      </w:tr>
      <w:tr>
        <w:tc>
          <w:tcPr/>
          <w:p>
            <w:r>
              <w:rPr>
                <w:b/>
              </w:rPr>
              <w:t>ИТОГО ВЫРУЧКА ПРИ ПОЛНОЙ МОЩНОСТИ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  <w:tc>
          <w:tcPr/>
          <w:p>
            <w:r>
              <w:rPr>
                <w:b/>
              </w:rPr>
              <w:t>60 000 000</w:t>
            </w:r>
          </w:p>
        </w:tc>
      </w:tr>
    </w:tbl>
    <w:p>
      <w:r>
        <w:rPr>
          <w:b/>
        </w:rPr>
        <w:t>Затраты при выходе на проектную мощность (сум/мес)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Статья затрат</w:t>
            </w:r>
          </w:p>
        </w:tc>
        <w:tc>
          <w:tcPr/>
          <w:p>
            <w:r>
              <w:rPr>
                <w:b/>
              </w:rPr>
              <w:t>Сумма, сум/мес</w:t>
            </w:r>
          </w:p>
        </w:tc>
        <w:tc>
          <w:tcPr/>
          <w:p>
            <w:r>
              <w:rPr>
                <w:b/>
              </w:rPr>
              <w:t>Доля постоянных</w:t>
            </w:r>
          </w:p>
        </w:tc>
      </w:tr>
      <w:tr>
        <w:tc>
          <w:tcPr/>
          <w:p>
            <w:r>
              <w:t>Коммунальные услуги</w:t>
            </w:r>
          </w:p>
        </w:tc>
        <w:tc>
          <w:tcPr/>
          <w:p>
            <w:r>
              <w:t>6 000 000</w:t>
            </w:r>
          </w:p>
        </w:tc>
        <w:tc>
          <w:tcPr/>
          <w:p>
            <w:r>
              <w:t>30%</w:t>
            </w:r>
          </w:p>
        </w:tc>
      </w:tr>
      <w:tr>
        <w:tc>
          <w:tcPr/>
          <w:p>
            <w:r>
              <w:t>ФОТ и ЕСП производственный</w:t>
            </w:r>
          </w:p>
        </w:tc>
        <w:tc>
          <w:tcPr/>
          <w:p>
            <w:r>
              <w:t>7 840 000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ФОТ и ЕСП административный</w:t>
            </w:r>
          </w:p>
        </w:tc>
        <w:tc>
          <w:tcPr/>
          <w:p>
            <w:r>
              <w:t>25 760 000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Амортизация</w:t>
            </w:r>
          </w:p>
        </w:tc>
        <w:tc>
          <w:tcPr/>
          <w:p>
            <w:r>
              <w:t>5 766 667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Прочие общехозяйственные расходы</w:t>
            </w:r>
          </w:p>
        </w:tc>
        <w:tc>
          <w:tcPr/>
          <w:p>
            <w:r>
              <w:t>8 500 000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rPr>
                <w:b/>
              </w:rPr>
              <w:t>ИТОГО ЗАТРАТЫ ПРИ ПОЛНОЙ МОЩНОСТИ</w:t>
            </w:r>
          </w:p>
        </w:tc>
        <w:tc>
          <w:tcPr/>
          <w:p>
            <w:r>
              <w:rPr>
                <w:b/>
              </w:rPr>
              <w:t>53 866 667</w:t>
            </w:r>
          </w:p>
        </w:tc>
        <w:tc>
          <w:tcPr/>
          <w:p/>
        </w:tc>
      </w:tr>
    </w:tbl>
    <w:p>
      <w:r>
        <w:rPr>
          <w:b/>
        </w:rPr>
        <w:t>Выход на мощность в Году 1</w:t>
      </w:r>
      <w:r>
        <w:t xml:space="preserve"> — проект не стартует сразу со 100% загрузки: в модели заложен постепенный выход на проектную мощность за 6 месяцев (50% → 65% → 78% → 88% → 95% → 100%), что реалистичнее для нового бизнеса и напрямую влияет на потребность в оборотном капитале и денежный поток первых месяцев (см. лист «План продаж» в Excel).</w:t>
      </w:r>
    </w:p>
    <w:p>
      <w:r>
        <w:rPr>
          <w:b/>
        </w:rPr>
        <w:t>Ключевые показатели по месяцам Года 1, сум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Показатель</w:t>
            </w:r>
          </w:p>
        </w:tc>
        <w:tc>
          <w:tcPr/>
          <w:p>
            <w:r>
              <w:rPr>
                <w:b/>
              </w:rPr>
              <w:t>Мес. 1</w:t>
            </w:r>
          </w:p>
        </w:tc>
        <w:tc>
          <w:tcPr/>
          <w:p>
            <w:r>
              <w:rPr>
                <w:b/>
              </w:rPr>
              <w:t>Мес. 3</w:t>
            </w:r>
          </w:p>
        </w:tc>
        <w:tc>
          <w:tcPr/>
          <w:p>
            <w:r>
              <w:rPr>
                <w:b/>
              </w:rPr>
              <w:t>Мес. 6</w:t>
            </w:r>
          </w:p>
        </w:tc>
        <w:tc>
          <w:tcPr/>
          <w:p>
            <w:r>
              <w:rPr>
                <w:b/>
              </w:rPr>
              <w:t>Мес. 12</w:t>
            </w:r>
          </w:p>
        </w:tc>
      </w:tr>
      <w:tr>
        <w:tc>
          <w:tcPr/>
          <w:p>
            <w:r>
              <w:t>Выручка</w:t>
            </w:r>
          </w:p>
        </w:tc>
        <w:tc>
          <w:tcPr/>
          <w:p>
            <w:r>
              <w:t>30 000 000</w:t>
            </w:r>
          </w:p>
        </w:tc>
        <w:tc>
          <w:tcPr/>
          <w:p>
            <w:r>
              <w:t>46 800 000</w:t>
            </w:r>
          </w:p>
        </w:tc>
        <w:tc>
          <w:tcPr/>
          <w:p>
            <w:r>
              <w:t>60 000 000</w:t>
            </w:r>
          </w:p>
        </w:tc>
        <w:tc>
          <w:tcPr/>
          <w:p>
            <w:r>
              <w:t>64 451 692</w:t>
            </w:r>
          </w:p>
        </w:tc>
      </w:tr>
      <w:tr>
        <w:tc>
          <w:tcPr/>
          <w:p>
            <w:r>
              <w:t>Чистая прибыль</w:t>
            </w:r>
          </w:p>
        </w:tc>
        <w:tc>
          <w:tcPr/>
          <w:p>
            <w:r>
              <w:t>−27 853 333</w:t>
            </w:r>
          </w:p>
        </w:tc>
        <w:tc>
          <w:tcPr/>
          <w:p>
            <w:r>
              <w:t>−12 229 333</w:t>
            </w:r>
          </w:p>
        </w:tc>
        <w:tc>
          <w:tcPr/>
          <w:p>
            <w:r>
              <w:t>39 667</w:t>
            </w:r>
          </w:p>
        </w:tc>
        <w:tc>
          <w:tcPr/>
          <w:p>
            <w:r>
              <w:t>4 174 642</w:t>
            </w:r>
          </w:p>
        </w:tc>
      </w:tr>
      <w:tr>
        <w:tc>
          <w:tcPr/>
          <w:p>
            <w:r>
              <w:t>Остаток денежных средств на конец периода</w:t>
            </w:r>
          </w:p>
        </w:tc>
        <w:tc>
          <w:tcPr/>
          <w:p>
            <w:r>
              <w:t>811 213 333</w:t>
            </w:r>
          </w:p>
        </w:tc>
        <w:tc>
          <w:tcPr/>
          <w:p>
            <w:r>
              <w:t>765 834 000</w:t>
            </w:r>
          </w:p>
        </w:tc>
        <w:tc>
          <w:tcPr/>
          <w:p>
            <w:r>
              <w:t>753 981 000</w:t>
            </w:r>
          </w:p>
        </w:tc>
        <w:tc>
          <w:tcPr/>
          <w:p>
            <w:r>
              <w:t>748 754 925</w:t>
            </w:r>
          </w:p>
        </w:tc>
      </w:tr>
    </w:tbl>
    <w:p>
      <w:r>
        <w:rPr>
          <w:rStyle w:val="CkCaption"/>
          <w:i/>
        </w:rPr>
        <w:t>Денежный поток остаётся положительным весь Год 1 при условии, что собственный капитал инициатора действительно покрывает не только основные средства, но и нарастание дебиторской задолженности и запасов на период выхода на мощность (см. смету выше).</w:t>
      </w:r>
    </w:p>
    <w:p>
      <w:r>
        <w:rPr>
          <w:b/>
        </w:rPr>
        <w:t>Точка безубыточности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Показатель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Маржинальная рентабельность (вклад на покрытие)</w:t>
            </w:r>
          </w:p>
        </w:tc>
        <w:tc>
          <w:tcPr/>
          <w:p>
            <w:r>
              <w:t>93,0%</w:t>
            </w:r>
          </w:p>
        </w:tc>
      </w:tr>
      <w:tr>
        <w:tc>
          <w:tcPr/>
          <w:p>
            <w:r>
              <w:t>Постоянные затраты, сум/мес</w:t>
            </w:r>
          </w:p>
        </w:tc>
        <w:tc>
          <w:tcPr/>
          <w:p>
            <w:r>
              <w:t>49 666 667</w:t>
            </w:r>
          </w:p>
        </w:tc>
      </w:tr>
      <w:tr>
        <w:tc>
          <w:tcPr/>
          <w:p>
            <w:r>
              <w:t>Точка безубыточности по выручке, сум/мес</w:t>
            </w:r>
          </w:p>
        </w:tc>
        <w:tc>
          <w:tcPr/>
          <w:p>
            <w:r>
              <w:t>53 405 018</w:t>
            </w:r>
          </w:p>
        </w:tc>
      </w:tr>
      <w:tr>
        <w:tc>
          <w:tcPr/>
          <w:p>
            <w:r>
              <w:t>Точка безубыточности, % от проектной мощности</w:t>
            </w:r>
          </w:p>
        </w:tc>
        <w:tc>
          <w:tcPr/>
          <w:p>
            <w:r>
              <w:t>89,0%</w:t>
            </w:r>
          </w:p>
        </w:tc>
      </w:tr>
    </w:tbl>
    <w:p>
      <w:r>
        <w:rPr>
          <w:b/>
        </w:rPr>
        <w:t>Срок окупаемости и эффективность</w:t>
      </w:r>
    </w:p>
    <w:p>
      <w:r>
        <w:t>Здесь важна методика: 850 000 000 сум из сметы — это капитал для выдачи первых займов, оборотный и возвратный актив (кредитный портфель), а не безвозвратные вложения. Делить всю смету проекта (1 200 000 000 сум) на месячную чистую прибыль было бы методологически неверно. Срок окупаемости невозвратных разовых вложений (350 000 000 сум: лицензирование, IT-платформа, комплаенс/AML-системы и офис) по чистой прибыли Года 1 (≈4 174 642 сум/мес к 12-му месяцу) — около 84 месяцев. Обратите внимание, что чистая прибыль здесь ниже, чем в упрощённом примере той же отрасли на MoliyaHub, — расчёт учитывает проценты по банковскому кредиту, налог на прибыль и постепенный выход на плановый объём выдачи займов, которые упрощённый пример не учитывает.</w:t>
      </w:r>
    </w:p>
    <w:p>
      <w:r>
        <w:rPr>
          <w:rStyle w:val="CkCaption"/>
          <w:i/>
        </w:rPr>
        <w:t>NPV и IRR в приложенном Excel-файле рассчитаны только за Год 1 проекта (12 месяцев) — в течение этого периода компания обычно ещё не успевает полностью окупить стартовые вложения. IRR за 12 месяцев математически не определяется, когда денежный поток года ещё не покрывает инвестиции (лист «NPV и IRR» показывает «н/д» в этом случае) — это ожидаемо для капиталоёмких проектов и не является ошибкой расчёта. Для реальной заявки в банк расширьте период анализа на нужное количество лет.</w:t>
      </w:r>
    </w:p>
    <w:p>
      <w:r>
        <w:t>[Впишите] Пересчитайте все показатели этого раздела на основе цен, ставок аренды/зарплат и объёмов продаж вашего проекта в вашем регионе — они автоматически обновятся и в приложенном Excel-файле.</w:t>
      </w:r>
    </w:p>
    <w:p>
      <w:pPr>
        <w:pStyle w:val="Heading2"/>
        <ck:id v="risks"/>
      </w:pPr>
      <w:bookmarkStart w:id="13" w:name="risks"/>
      <w:r>
        <w:t>Оценка рисков</w:t>
      </w:r>
      <w:bookmarkEnd w:id="13"/>
    </w:p>
    <w:p>
      <w:r>
        <w:rPr>
          <w:rStyle w:val="CkCaption"/>
          <w:i/>
        </w:rPr>
        <w:t>Веса ниже отражают ОТНОСИТЕЛЬНУЮ значимость рисков друг относительно друга (в сумме — 100%), а не вероятность в процентах; оценка — экспертная, по шкале от 1 (низкий риск) до 5 (высокий риск).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Риск</w:t>
            </w:r>
          </w:p>
        </w:tc>
        <w:tc>
          <w:tcPr/>
          <w:p>
            <w:r>
              <w:rPr>
                <w:b/>
              </w:rPr>
              <w:t>Вес, %</w:t>
            </w:r>
          </w:p>
        </w:tc>
        <w:tc>
          <w:tcPr/>
          <w:p>
            <w:r>
              <w:rPr>
                <w:b/>
              </w:rPr>
              <w:t>Оценка (1-5)</w:t>
            </w:r>
          </w:p>
        </w:tc>
        <w:tc>
          <w:tcPr/>
          <w:p>
            <w:r>
              <w:rPr>
                <w:b/>
              </w:rPr>
              <w:t>Взвешенный балл</w:t>
            </w:r>
          </w:p>
        </w:tc>
        <w:tc>
          <w:tcPr/>
          <w:p>
            <w:r>
              <w:rPr>
                <w:b/>
              </w:rPr>
              <w:t>Меры снижения</w:t>
            </w:r>
          </w:p>
        </w:tc>
      </w:tr>
      <w:tr>
        <w:tc>
          <w:tcPr/>
          <w:p>
            <w:r>
              <w:t>Кредитный риск (невозврат займов)</w:t>
            </w:r>
          </w:p>
        </w:tc>
        <w:tc>
          <w:tcPr/>
          <w:p>
            <w:r>
              <w:t>25%</w:t>
            </w:r>
          </w:p>
        </w:tc>
        <w:tc>
          <w:tcPr/>
          <w:p>
            <w:r>
              <w:t>4</w:t>
            </w:r>
          </w:p>
        </w:tc>
        <w:tc>
          <w:tcPr/>
          <w:p>
            <w:r>
              <w:t>1,00</w:t>
            </w:r>
          </w:p>
        </w:tc>
        <w:tc>
          <w:tcPr/>
          <w:p>
            <w:r>
              <w:t>Скоринг заёмщиков на основе данных, диверсификация портфеля, лимиты на одного заёмщика</w:t>
            </w:r>
          </w:p>
        </w:tc>
      </w:tr>
      <w:tr>
        <w:tc>
          <w:tcPr/>
          <w:p>
            <w:r>
              <w:t>Регуляторные изменения со стороны ЦБ РУз</w:t>
            </w:r>
          </w:p>
        </w:tc>
        <w:tc>
          <w:tcPr/>
          <w:p>
            <w:r>
              <w:t>20%</w:t>
            </w:r>
          </w:p>
        </w:tc>
        <w:tc>
          <w:tcPr/>
          <w:p>
            <w:r>
              <w:t>3</w:t>
            </w:r>
          </w:p>
        </w:tc>
        <w:tc>
          <w:tcPr/>
          <w:p>
            <w:r>
              <w:t>0,60</w:t>
            </w:r>
          </w:p>
        </w:tc>
        <w:tc>
          <w:tcPr/>
          <w:p>
            <w:r>
              <w:t>Постоянный мониторинг требований, резерв времени и бюджета на комплаенс</w:t>
            </w:r>
          </w:p>
        </w:tc>
      </w:tr>
      <w:tr>
        <w:tc>
          <w:tcPr/>
          <w:p>
            <w:r>
              <w:t>Киберугрозы и утечка финансовых данных клиентов</w:t>
            </w:r>
          </w:p>
        </w:tc>
        <w:tc>
          <w:tcPr/>
          <w:p>
            <w:r>
              <w:t>20%</w:t>
            </w:r>
          </w:p>
        </w:tc>
        <w:tc>
          <w:tcPr/>
          <w:p>
            <w:r>
              <w:t>3</w:t>
            </w:r>
          </w:p>
        </w:tc>
        <w:tc>
          <w:tcPr/>
          <w:p>
            <w:r>
              <w:t>0,60</w:t>
            </w:r>
          </w:p>
        </w:tc>
        <w:tc>
          <w:tcPr/>
          <w:p>
            <w:r>
              <w:t>Аудит информационной безопасности, страхование киберрисков, шифрование данных</w:t>
            </w:r>
          </w:p>
        </w:tc>
      </w:tr>
      <w:tr>
        <w:tc>
          <w:tcPr/>
          <w:p>
            <w:r>
              <w:t>Репутационный риск при взыскании задолженности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0,30</w:t>
            </w:r>
          </w:p>
        </w:tc>
        <w:tc>
          <w:tcPr/>
          <w:p>
            <w:r>
              <w:t>Прозрачная и этичная политика взыскания, соответствие требованиям ЦБ РУз по защите прав потребителей</w:t>
            </w:r>
          </w:p>
        </w:tc>
      </w:tr>
      <w:tr>
        <w:tc>
          <w:tcPr/>
          <w:p>
            <w:r>
              <w:t>Валютные риски при работе с иностранными платформами</w:t>
            </w:r>
          </w:p>
        </w:tc>
        <w:tc>
          <w:tcPr/>
          <w:p>
            <w:r>
              <w:t>10%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0,20</w:t>
            </w:r>
          </w:p>
        </w:tc>
        <w:tc>
          <w:tcPr/>
          <w:p>
            <w:r>
              <w:t>Хеджирование, расчёты преимущественно в национальной валюте</w:t>
            </w:r>
          </w:p>
        </w:tc>
      </w:tr>
      <w:tr>
        <w:tc>
          <w:tcPr/>
          <w:p>
            <w:r>
              <w:t>Низкая финансовая грамотность части целевой аудитории</w:t>
            </w:r>
          </w:p>
        </w:tc>
        <w:tc>
          <w:tcPr/>
          <w:p>
            <w:r>
              <w:t>10%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0,20</w:t>
            </w:r>
          </w:p>
        </w:tc>
        <w:tc>
          <w:tcPr/>
          <w:p>
            <w:r>
              <w:t>Простой и понятный интерфейс, обучающий контент, поддержка на местном языке</w:t>
            </w:r>
          </w:p>
        </w:tc>
      </w:tr>
      <w:tr>
        <w:tc>
          <w:tcPr/>
          <w:p>
            <w:r>
              <w:rPr>
                <w:b/>
              </w:rPr>
              <w:t>ИТОГО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  <w:tc>
          <w:tcPr/>
          <w:p/>
        </w:tc>
        <w:tc>
          <w:tcPr/>
          <w:p>
            <w:r>
              <w:rPr>
                <w:b/>
              </w:rPr>
              <w:t>2,90 из 5</w:t>
            </w:r>
          </w:p>
        </w:tc>
        <w:tc>
          <w:tcPr/>
          <w:p/>
        </w:tc>
      </w:tr>
    </w:tbl>
    <w:p>
      <w:r>
        <w:t>Итоговая взвешенная оценка (2,90 из 5) отражает экспертную оценку совокупного уровня риска проекта.</w:t>
      </w:r>
    </w:p>
    <w:p>
      <w:r>
        <w:t>[Впишите] Дополните таблицу своими рисками, специфичными для вашего проекта и региона, и пересчитайте веса.</w:t>
      </w:r>
    </w:p>
    <w:p>
      <w:pPr>
        <w:pStyle w:val="Heading2"/>
        <ck:id v="conclusion"/>
      </w:pPr>
      <w:bookmarkStart w:id="14" w:name="conclusion"/>
      <w:r>
        <w:t>Заключение</w:t>
      </w:r>
      <w:bookmarkEnd w:id="14"/>
    </w:p>
    <w:p>
      <w:r>
        <w:t>[Впишите] Краткий вывод: почему проект целесообразен, какую пользу он приносит региону/отрасли, и какое решение вы просите у банка/инвестора.</w:t>
      </w:r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Проект расширяет доступ малого бизнеса и продавцов маркетплейсов к оборотному финансированию без залога. Капитал для выдачи первых займов (850 млн сум) — это оборотный, возвратный актив (кредитный портфель), а не безвозвратные вложения: срок окупаемости корректно считать по невозвратным разовым затратам (лицензирование, IT-платформа, комплаенс, офис), а не по всей сумме потребности в капитале.</w:t>
                </w:r>
              </w:p>
            </w:tc>
          </w:tr>
        </w:tbl>
      </w:sdtContent>
    </w:sdt>
    <w:sectPr>
      <ck:section v="1:||margins=1.1in,size=letter"/>
      <w:footerReference w:type="default" r:id="rIdHf1"/>
      <w:pgSz w:w="12240" w:h="15840"/>
      <w:pgMar w:top="1584" w:right="1584" w:bottom="1584" w:left="1584" w:header="720" w:footer="720" w:gutter="0"/>
    </w:sectPr>
  </w:body>
</w:document>
</file>

<file path=word/fontTable.xml><?xml version="1.0" encoding="utf-8"?>
<w:fonts xmlns:w="http://schemas.openxmlformats.org/wordprocessingml/2006/main">
  <w:font w:name="Cambria">
    <w:family w:val="roman"/>
  </w:font>
  <w:font w:name="Consolas">
    <w:family w:val="modern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sdt>
    <w:sdtPr>
      <w:tag w:val="clarkdown:div"/>
      <ck:div v="||text-align=center"/>
    </w:sdtPr>
    <w:sdtContent>
      <w:p>
        <w:pPr>
          <w:jc w:val="center"/>
        </w:pPr>
        <w:r>
          <w:t xml:space="preserve">MoliyaHub · </w:t>
        </w:r>
        <w:fldSimple w:instr="PAGE">
          <w:r>
            <w:t>1</w:t>
          </w:r>
        </w:fldSimple>
      </w:p>
    </w:sdtContent>
  </w:sdt>
</w:ftr>
</file>

<file path=word/numbering.xml><?xml version="1.0" encoding="utf-8"?>
<w:numbering xmlns:w="http://schemas.openxmlformats.org/wordprocessingml/2006/main">
  <w:abstractNum w:abstractNumId="1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1."/>
      <w:lvlJc w:val="left"/>
      <w:pPr>
        <w:ind w:left="2880" w:hanging="360"/>
      </w:pPr>
    </w:lvl>
    <w:lvl w:ilvl="4">
      <w:start w:val="1"/>
      <w:numFmt w:val="decimal"/>
      <w:lvlText w:val="%2."/>
      <w:lvlJc w:val="left"/>
      <w:pPr>
        <w:ind w:left="3600" w:hanging="360"/>
      </w:pPr>
    </w:lvl>
    <w:lvl w:ilvl="5">
      <w:start w:val="1"/>
      <w:numFmt w:val="decimal"/>
      <w:lvlText w:val="%3."/>
      <w:lvlJc w:val="left"/>
      <w:pPr>
        <w:ind w:left="4320" w:hanging="360"/>
      </w:pPr>
    </w:lvl>
    <w:lvl w:ilvl="6">
      <w:start w:val="1"/>
      <w:numFmt w:val="decimal"/>
      <w:lvlText w:val="%1."/>
      <w:lvlJc w:val="left"/>
      <w:pPr>
        <w:ind w:left="5040" w:hanging="360"/>
      </w:pPr>
    </w:lvl>
    <w:lvl w:ilvl="7">
      <w:start w:val="1"/>
      <w:numFmt w:val="decimal"/>
      <w:lvlText w:val="%2."/>
      <w:lvlJc w:val="left"/>
      <w:pPr>
        <w:ind w:left="5760" w:hanging="360"/>
      </w:pPr>
    </w:lvl>
    <w:lvl w:ilvl="8">
      <w:start w:val="1"/>
      <w:numFmt w:val="decimal"/>
      <w:lvlText w:val="%3."/>
      <w:lvlJc w:val="left"/>
      <w:pPr>
        <w:ind w:left="6480" w:hanging="360"/>
      </w:pPr>
    </w:lvl>
  </w:abstractNum>
  <w:abstractNum w:abstractNumId="3">
    <w:multiLevelType w:val="hybridMultilevel"/>
    <w:lvl w:ilvl="0">
      <w:start w:val="1"/>
      <w:numFmt w:val="bullet"/>
      <w:lvlText w:val="☐"/>
      <w:lvlJc w:val="left"/>
      <w:pPr>
        <w:ind w:left="720" w:hanging="360"/>
      </w:pPr>
    </w:lvl>
    <w:lvl w:ilvl="1">
      <w:start w:val="1"/>
      <w:numFmt w:val="bullet"/>
      <w:lvlText w:val="☐"/>
      <w:lvlJc w:val="left"/>
      <w:pPr>
        <w:ind w:left="1440" w:hanging="360"/>
      </w:pPr>
    </w:lvl>
    <w:lvl w:ilvl="2">
      <w:start w:val="1"/>
      <w:numFmt w:val="bullet"/>
      <w:lvlText w:val="☐"/>
      <w:lvlJc w:val="left"/>
      <w:pPr>
        <w:ind w:left="2160" w:hanging="360"/>
      </w:pPr>
    </w:lvl>
    <w:lvl w:ilvl="3">
      <w:start w:val="1"/>
      <w:numFmt w:val="bullet"/>
      <w:lvlText w:val="☐"/>
      <w:lvlJc w:val="left"/>
      <w:pPr>
        <w:ind w:left="2880" w:hanging="360"/>
      </w:pPr>
    </w:lvl>
    <w:lvl w:ilvl="4">
      <w:start w:val="1"/>
      <w:numFmt w:val="bullet"/>
      <w:lvlText w:val="☐"/>
      <w:lvlJc w:val="left"/>
      <w:pPr>
        <w:ind w:left="3600" w:hanging="360"/>
      </w:pPr>
    </w:lvl>
    <w:lvl w:ilvl="5">
      <w:start w:val="1"/>
      <w:numFmt w:val="bullet"/>
      <w:lvlText w:val="☐"/>
      <w:lvlJc w:val="left"/>
      <w:pPr>
        <w:ind w:left="4320" w:hanging="360"/>
      </w:pPr>
    </w:lvl>
    <w:lvl w:ilvl="6">
      <w:start w:val="1"/>
      <w:numFmt w:val="bullet"/>
      <w:lvlText w:val="☐"/>
      <w:lvlJc w:val="left"/>
      <w:pPr>
        <w:ind w:left="5040" w:hanging="360"/>
      </w:pPr>
    </w:lvl>
    <w:lvl w:ilvl="7">
      <w:start w:val="1"/>
      <w:numFmt w:val="bullet"/>
      <w:lvlText w:val="☐"/>
      <w:lvlJc w:val="left"/>
      <w:pPr>
        <w:ind w:left="5760" w:hanging="360"/>
      </w:pPr>
    </w:lvl>
    <w:lvl w:ilvl="8">
      <w:start w:val="1"/>
      <w:numFmt w:val="bullet"/>
      <w:lvlText w:val="☐"/>
      <w:lvlJc w:val="left"/>
      <w:pPr>
        <w:ind w:left="6480" w:hanging="360"/>
      </w:pPr>
    </w:lvl>
  </w:abstractNum>
  <w:abstractNum w:abstractNumId="4">
    <w:multiLevelType w:val="hybridMultilevel"/>
    <w:lvl w:ilvl="0">
      <w:start w:val="1"/>
      <w:numFmt w:val="bullet"/>
      <w:lvlText w:val="☑"/>
      <w:lvlJc w:val="left"/>
      <w:pPr>
        <w:ind w:left="720" w:hanging="360"/>
      </w:pPr>
    </w:lvl>
    <w:lvl w:ilvl="1">
      <w:start w:val="1"/>
      <w:numFmt w:val="bullet"/>
      <w:lvlText w:val="☑"/>
      <w:lvlJc w:val="left"/>
      <w:pPr>
        <w:ind w:left="1440" w:hanging="360"/>
      </w:pPr>
    </w:lvl>
    <w:lvl w:ilvl="2">
      <w:start w:val="1"/>
      <w:numFmt w:val="bullet"/>
      <w:lvlText w:val="☑"/>
      <w:lvlJc w:val="left"/>
      <w:pPr>
        <w:ind w:left="2160" w:hanging="360"/>
      </w:pPr>
    </w:lvl>
    <w:lvl w:ilvl="3">
      <w:start w:val="1"/>
      <w:numFmt w:val="bullet"/>
      <w:lvlText w:val="☑"/>
      <w:lvlJc w:val="left"/>
      <w:pPr>
        <w:ind w:left="2880" w:hanging="360"/>
      </w:pPr>
    </w:lvl>
    <w:lvl w:ilvl="4">
      <w:start w:val="1"/>
      <w:numFmt w:val="bullet"/>
      <w:lvlText w:val="☑"/>
      <w:lvlJc w:val="left"/>
      <w:pPr>
        <w:ind w:left="3600" w:hanging="360"/>
      </w:pPr>
    </w:lvl>
    <w:lvl w:ilvl="5">
      <w:start w:val="1"/>
      <w:numFmt w:val="bullet"/>
      <w:lvlText w:val="☑"/>
      <w:lvlJc w:val="left"/>
      <w:pPr>
        <w:ind w:left="4320" w:hanging="360"/>
      </w:pPr>
    </w:lvl>
    <w:lvl w:ilvl="6">
      <w:start w:val="1"/>
      <w:numFmt w:val="bullet"/>
      <w:lvlText w:val="☑"/>
      <w:lvlJc w:val="left"/>
      <w:pPr>
        <w:ind w:left="5040" w:hanging="360"/>
      </w:pPr>
    </w:lvl>
    <w:lvl w:ilvl="7">
      <w:start w:val="1"/>
      <w:numFmt w:val="bullet"/>
      <w:lvlText w:val="☑"/>
      <w:lvlJc w:val="left"/>
      <w:pPr>
        <w:ind w:left="5760" w:hanging="360"/>
      </w:pPr>
    </w:lvl>
    <w:lvl w:ilvl="8">
      <w:start w:val="1"/>
      <w:numFmt w:val="bullet"/>
      <w:lvlText w:val="☑"/>
      <w:lvlJc w:val="left"/>
      <w:pPr>
        <w:ind w:left="648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cs="Cambria"/>
        <w:sz w:val="22"/>
        <w:szCs w:val="22"/>
        <w:lang w:val="en-US"/>
      </w:rPr>
    </w:rPrDefault>
    <w:pPrDefault>
      <w:pPr>
        <w:spacing w:after="160" w:line="312" w:lineRule="auto"/>
      </w:pPr>
    </w:pPrDefault>
  </w:docDefaults>
  <w:style w:type="paragraph" w:styleId="Normal" w:default="1">
    <w:name w:val="Normal"/>
  </w:style>
  <w:style w:type="paragraph" w:styleId="Heading1" w:default="0">
    <w:name w:val="heading 1"/>
    <w:basedOn w:val="Normal"/>
    <w:next w:val="Normal"/>
    <w:pPr>
      <w:keepNext/>
      <w:keepLines/>
      <w:spacing w:before="320" w:line="264" w:lineRule="auto"/>
      <w:outlineLvl w:val="0"/>
    </w:pPr>
    <w:rPr>
      <w:rFonts w:ascii="Cambria" w:hAnsi="Cambria"/>
      <w:b/>
      <w:color w:val="1A1A1A"/>
      <w:sz w:val="38"/>
      <w:szCs w:val="38"/>
    </w:rPr>
  </w:style>
  <w:style w:type="paragraph" w:styleId="Heading2" w:default="0">
    <w:name w:val="heading 2"/>
    <w:basedOn w:val="Normal"/>
    <w:next w:val="Normal"/>
    <w:pPr>
      <w:keepNext/>
      <w:keepLines/>
      <w:spacing w:before="320" w:line="264" w:lineRule="auto"/>
      <w:outlineLvl w:val="1"/>
    </w:pPr>
    <w:rPr>
      <w:rFonts w:ascii="Cambria" w:hAnsi="Cambria"/>
      <w:b/>
      <w:sz w:val="32"/>
      <w:szCs w:val="32"/>
    </w:rPr>
  </w:style>
  <w:style w:type="paragraph" w:styleId="Heading3" w:default="0">
    <w:name w:val="heading 3"/>
    <w:basedOn w:val="Normal"/>
    <w:next w:val="Normal"/>
    <w:pPr>
      <w:keepNext/>
      <w:keepLines/>
      <w:spacing w:before="160" w:line="264" w:lineRule="auto"/>
      <w:outlineLvl w:val="2"/>
    </w:pPr>
    <w:rPr>
      <w:rFonts w:ascii="Cambria" w:hAnsi="Cambria"/>
      <w:b/>
      <w:sz w:val="26"/>
      <w:szCs w:val="26"/>
    </w:rPr>
  </w:style>
  <w:style w:type="paragraph" w:styleId="Heading4" w:default="0">
    <w:name w:val="heading 4"/>
    <w:basedOn w:val="Normal"/>
    <w:next w:val="Normal"/>
    <w:pPr>
      <w:keepNext/>
      <w:keepLines/>
      <w:spacing w:before="160" w:line="264" w:lineRule="auto"/>
      <w:outlineLvl w:val="3"/>
    </w:pPr>
    <w:rPr>
      <w:rFonts w:ascii="Cambria" w:hAnsi="Cambria"/>
      <w:b/>
      <w:sz w:val="22"/>
      <w:szCs w:val="22"/>
    </w:rPr>
  </w:style>
  <w:style w:type="paragraph" w:styleId="Heading5" w:default="0">
    <w:name w:val="heading 5"/>
    <w:basedOn w:val="Normal"/>
    <w:next w:val="Normal"/>
    <w:pPr>
      <w:keepNext/>
      <w:keepLines/>
      <w:spacing w:before="160" w:line="264" w:lineRule="auto"/>
      <w:outlineLvl w:val="4"/>
    </w:pPr>
    <w:rPr>
      <w:rFonts w:ascii="Cambria" w:hAnsi="Cambria"/>
      <w:b/>
      <w:sz w:val="22"/>
      <w:szCs w:val="22"/>
    </w:rPr>
  </w:style>
  <w:style w:type="paragraph" w:styleId="Heading6" w:default="0">
    <w:name w:val="heading 6"/>
    <w:basedOn w:val="Normal"/>
    <w:next w:val="Normal"/>
    <w:pPr>
      <w:keepNext/>
      <w:keepLines/>
      <w:spacing w:before="160" w:line="264" w:lineRule="auto"/>
      <w:outlineLvl w:val="5"/>
    </w:pPr>
    <w:rPr>
      <w:rFonts w:ascii="Cambria" w:hAnsi="Cambria"/>
      <w:b/>
      <w:sz w:val="22"/>
      <w:szCs w:val="22"/>
    </w:rPr>
  </w:style>
  <w:style w:type="paragraph" w:styleId="Quote" w:default="0">
    <w:name w:val="Quote"/>
    <w:basedOn w:val="Normal"/>
    <w:pPr>
      <w:ind w:left="320"/>
      <w:pBdr>
        <w:left w:val="single" w:sz="24" w:space="12" w:color="BFBFBF"/>
      </w:pBdr>
    </w:pPr>
    <w:rPr>
      <w:i/>
      <w:color w:val="595959"/>
    </w:rPr>
  </w:style>
  <w:style w:type="character" w:styleId="CkHighlight">
    <w:name w:val="Clarkdown Highlight"/>
    <w:rPr>
      <w:shd w:val="clear" w:fill="FFF2A8"/>
    </w:rPr>
  </w:style>
  <w:style w:type="character" w:styleId="CkSmallcaps">
    <w:name w:val="Clarkdown Smallcaps"/>
    <w:rPr>
      <w:smallCaps/>
    </w:rPr>
  </w:style>
  <w:style w:type="character" w:styleId="CkUnderline">
    <w:name w:val="Clarkdown Underline"/>
    <w:rPr>
      <w:u w:val="single"/>
    </w:rPr>
  </w:style>
  <w:style w:type="character" w:styleId="CkMuted">
    <w:name w:val="Clarkdown Muted"/>
    <w:rPr>
      <w:color w:val="595959"/>
    </w:rPr>
  </w:style>
  <w:style w:type="character" w:styleId="CkAccent">
    <w:name w:val="Clarkdown Accent"/>
    <w:rPr>
      <w:color w:val="1A1A1A"/>
    </w:rPr>
  </w:style>
  <w:style w:type="character" w:styleId="CkCaption">
    <w:name w:val="Clarkdown Caption"/>
    <w:rPr>
      <w:i/>
      <w:color w:val="595959"/>
      <w:sz w:val="20"/>
      <w:szCs w:val="20"/>
    </w:rPr>
  </w:style>
  <w:style w:type="paragraph" w:styleId="CkDisplay" w:default="0">
    <w:name w:val="Clarkdown Display"/>
    <w:basedOn w:val="Normal"/>
    <w:next w:val="Normal"/>
    <w:pPr>
      <w:keepNext/>
      <w:keepLines/>
      <w:spacing w:after="240" w:line="264" w:lineRule="auto"/>
    </w:pPr>
    <w:rPr>
      <w:rFonts w:ascii="Cambria" w:hAnsi="Cambria"/>
      <w:b/>
      <w:color w:val="1A1A1A"/>
      <w:sz w:val="132"/>
      <w:szCs w:val="132"/>
    </w:rPr>
  </w:style>
  <w:style w:type="character" w:styleId="CkKicker">
    <w:name w:val="Clarkdown Kicker"/>
    <w:rPr>
      <w:smallCaps/>
      <w:spacing w:val="18"/>
      <w:color w:val="595959"/>
    </w:rPr>
  </w:style>
  <w:style w:type="paragraph" w:styleId="CkTrackedCaps" w:default="0">
    <w:name w:val="Clarkdown Tracked Caps"/>
    <w:basedOn w:val="Normal"/>
    <w:next w:val="Normal"/>
    <w:rPr>
      <w:smallCaps/>
      <w:spacing w:val="18"/>
    </w:rPr>
  </w:style>
  <w:style w:type="paragraph" w:styleId="Title" w:default="0">
    <w:name w:val="Title"/>
    <w:basedOn w:val="Normal"/>
    <w:next w:val="Normal"/>
    <w:pPr>
      <w:keepNext/>
      <w:keepLines/>
      <w:spacing w:after="240" w:line="264" w:lineRule="auto"/>
    </w:pPr>
    <w:rPr>
      <w:rFonts w:ascii="Cambria" w:hAnsi="Cambria"/>
      <w:b/>
      <w:sz w:val="46"/>
      <w:szCs w:val="46"/>
    </w:rPr>
  </w:style>
  <w:style w:type="character" w:styleId="Hyperlink">
    <w:name w:val="Hyperlink"/>
    <w:rPr>
      <w:color w:val="1A1A1A"/>
      <w:u w:val="single"/>
    </w:rPr>
  </w:style>
  <w:style w:type="paragraph" w:styleId="CkCodeBlock" w:default="0">
    <w:name w:val="Clarkdown Code Block"/>
    <w:basedOn w:val="Normal"/>
    <w:pPr>
      <w:shd w:val="clear" w:fill="EDEDED"/>
      <w:spacing w:after="0" w:line="240" w:lineRule="auto"/>
    </w:pPr>
    <w:rPr>
      <w:rFonts w:ascii="Consolas" w:hAnsi="Consolas"/>
      <w:noProof/>
      <w:sz w:val="20"/>
    </w:rPr>
  </w:style>
  <w:style w:type="character" w:styleId="CkCode">
    <w:name w:val="Clarkdown Code"/>
    <w:rPr>
      <w:rFonts w:ascii="Consolas" w:hAnsi="Consolas"/>
      <w:shd w:val="clear" w:fill="EDEDED"/>
      <w:sz w:val="20"/>
    </w:rPr>
  </w:style>
  <w:style w:type="paragraph" w:styleId="Caption" w:default="0">
    <w:name w:val="caption"/>
    <w:basedOn w:val="Normal"/>
    <w:rPr>
      <w:i/>
      <w:sz w:val="18"/>
    </w:rPr>
  </w:style>
  <w:style w:type="paragraph" w:styleId="ListParagraph" w:default="0">
    <w:name w:val="List Paragraph"/>
    <w:basedOn w:val="Normal"/>
    <w:pPr>
      <w:ind w:left="320"/>
    </w:pPr>
  </w:style>
  <w:style w:type="paragraph" w:styleId="CkUnknown" w:default="0">
    <w:name w:val="Clarkdown Unknown"/>
    <w:basedOn w:val="Normal"/>
    <w:pPr>
      <w:shd w:val="clear" w:fill="FFEEEE"/>
    </w:pPr>
  </w:style>
  <w:style w:type="paragraph" w:styleId="FootnoteText" w:default="0">
    <w:name w:val="footnote text"/>
    <w:basedOn w:val="Normal"/>
    <w:rPr>
      <w:sz w:val="18"/>
    </w:rPr>
  </w:style>
  <w:style w:type="character" w:styleId="FootnoteReference">
    <w:name w:val="footnote reference"/>
    <w:rPr>
      <w:vertAlign w:val="superscript"/>
    </w:rPr>
  </w:style>
  <w:style w:type="table" w:styleId="CkTable">
    <w:name w:val="Clarkdown Table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styleId="CkLayout">
    <w:name w:val="Clarkdown Layout"/>
    <w:tblPr>
      <w:tblBorders>
        <w:top w:val="none"/>
        <w:left w:val="none"/>
        <w:bottom w:val="none"/>
        <w:right w:val="none"/>
        <w:insideH w:val="none"/>
        <w:insideV w:val="none"/>
      </w:tblBorders>
    </w:tblPr>
  </w:style>
  <w:style w:type="paragraph" w:styleId="CkNote" w:default="0">
    <w:name w:val="Clarkdown Note"/>
    <w:basedOn w:val="Normal"/>
    <w:pPr>
      <w:pBdr>
        <w:left w:val="single" w:sz="24" w:space="8" w:color="2F6FEB"/>
      </w:pBdr>
      <w:ind w:left="240"/>
    </w:pPr>
  </w:style>
  <w:style w:type="paragraph" w:styleId="CkTip" w:default="0">
    <w:name w:val="Clarkdown Tip"/>
    <w:basedOn w:val="Normal"/>
    <w:pPr>
      <w:pBdr>
        <w:left w:val="single" w:sz="24" w:space="8" w:color="1A7F37"/>
      </w:pBdr>
      <w:ind w:left="240"/>
    </w:pPr>
  </w:style>
  <w:style w:type="paragraph" w:styleId="CkWarning" w:default="0">
    <w:name w:val="Clarkdown Warning"/>
    <w:basedOn w:val="Normal"/>
    <w:pPr>
      <w:pBdr>
        <w:left w:val="single" w:sz="24" w:space="8" w:color="9A6700"/>
      </w:pBdr>
      <w:ind w:left="240"/>
    </w:pPr>
  </w:style>
  <w:style w:type="paragraph" w:styleId="CkImportant" w:default="0">
    <w:name w:val="Clarkdown Important"/>
    <w:basedOn w:val="Normal"/>
    <w:pPr>
      <w:pBdr>
        <w:left w:val="single" w:sz="24" w:space="8" w:color="8250DF"/>
      </w:pBdr>
      <w:ind w:left="240"/>
    </w:pPr>
  </w:style>
  <w:style w:type="paragraph" w:styleId="CkCaution" w:default="0">
    <w:name w:val="Clarkdown Caution"/>
    <w:basedOn w:val="Normal"/>
    <w:pPr>
      <w:pBdr>
        <w:left w:val="single" w:sz="24" w:space="8" w:color="CF222E"/>
      </w:pBdr>
      <w:ind w:left="24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Fonts" Type="http://schemas.openxmlformats.org/officeDocument/2006/relationships/fontTable" Target="fontTable.xml"/><Relationship Id="rIdSettings" Type="http://schemas.openxmlformats.org/officeDocument/2006/relationships/settings" Target="settings.xml"/><Relationship Id="rIdHf1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rkdownFrontMatter">
    <vt:lpwstr>{"kv":{"theme":"serif"},"v":1}</vt:lpwstr>
  </property>
</Properties>
</file>