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ТЕХНИКО-ЭКОНОМИЧЕСКОЕ ОБОСНОВАНИЕ ПРОЕКТА</w:t>
      </w:r>
      <w:bookmarkEnd w:id="0"/>
    </w:p>
    <w:p>
      <w:r>
        <w:rPr>
          <w:rStyle w:val="CkMuted"/>
        </w:rPr>
        <w:t>Расширенный образец (ТЭО) для отрасли «Образование и онлайн-курсы» — по структуре, близкой к банковской</w:t>
      </w:r>
    </w:p>
    <w:p>
      <w:r>
        <w:t>Наименование проекта: [впишите]</w:t>
      </w:r>
      <w:r>
        <w:br/>
      </w:r>
      <w:r>
        <w:t>Инициатор / заёмщик: [впишите]</w:t>
      </w:r>
      <w:r>
        <w:br/>
      </w:r>
      <w:r>
        <w:t>Регион реализации: [впишите]</w:t>
      </w:r>
      <w:r>
        <w:br/>
      </w:r>
      <w:r>
        <w:t>Полная стоимость проекта, сум: [впишите]</w:t>
      </w:r>
      <w:r>
        <w:br/>
      </w:r>
      <w:r>
        <w:t>Дата составления: [впишите]</w:t>
      </w:r>
    </w:p>
    <w:p>
      <w:r>
        <w:rPr>
          <w:rStyle w:val="CkCaption"/>
          <w:i/>
        </w:rPr>
        <w:t>Это расширенный образец (шаблон) MoliyaHub, построенный по структуре типового технико-экономического обоснования (ТЭО), которое банки Узбекистана обычно запрашивают при рассмотрении кредитной заявки на инвестиционный проект — с меморандумом о конфиденциальности, разделом о заёмщике, структурой финансирования, таблицей персонала и взвешенной оценкой рисков. Это НЕ более простой типовой бизнес-план (тот доступен на MoliyaHub отдельным файлом для той же отрасли) — это более полный и подробный формат для тех, кто готовит заявку сразу под требования банка. Все суммы и показатели ниже — иллюстративный пример для вымышленной компании, основанный на рыночных ориентирах 2025-2026 года и экспертных оценках порядка величины, а НЕ факт о реальной компании и не финансовая отчётность. Реквизиты заёмщика (ИНН, адрес, учредители, паспортные данные) должны быть заполнены вашими настоящими данными — образец сознательно не содержит вымышленных номеров документов, чтобы их нельзя было принять за реальные. Полная финансовая модель с рабочими формулами (16 связанных листов: смета, финансирование, амортизация, себестоимость по месяцам, график кредита, P&amp;L, рабочий капитал, поток наличности, NPV/IRR, точка безубыточности, прогнозный баланс) — в отдельном Excel-файле с тем же названием, который дополняет этот документ.</w:t>
      </w:r>
    </w:p>
    <w:p>
      <w:pPr>
        <w:pStyle w:val="Heading2"/>
        <ck:id v="confidentiality"/>
      </w:pPr>
      <w:bookmarkStart w:id="1" w:name="confidentiality"/>
      <w:r>
        <w:t>Меморандум о конфиденциальности</w:t>
      </w:r>
      <w:bookmarkEnd w:id="1"/>
    </w:p>
    <w:p>
      <w:r>
        <w:t>Настоящий документ и приложенная к нему финансовая модель содержат информацию о планируемой хозяйственной деятельности заёмщика и предназначены исключительно для рассмотрения кредитующим банком (инвестором) в целях принятия решения об участии в проекте. Документ не подлежит копированию или передаче третьим лицам без письменного согласия заёмщика, за исключением случаев, предусмотренных законодательством Республики Узбекистан. Все финансовые показатели являются прогнозными и не гарантируют фактического результата.</w:t>
      </w:r>
    </w:p>
    <w:p>
      <w:r>
        <w:t>[Впишите] При подготовке реальной заявки замените этот раздел меморандумом о конфиденциальности вашей компании либо согласуйте формулировку с юристом и требованиями конкретного банка.</w:t>
      </w:r>
    </w:p>
    <w:p>
      <w:pPr>
        <w:pStyle w:val="Heading2"/>
        <ck:id v="resume"/>
      </w:pPr>
      <w:bookmarkStart w:id="2" w:name="resume"/>
      <w:r>
        <w:t>Резюме проекта</w:t>
      </w:r>
      <w:bookmarkEnd w:id="2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ООО «Bilim Yo'li Study Center» реализует проект «Запуск онлайн-центра подготовки к международным экзаменам»: Онлайн-центр подготовки к международным экзаменам (IELTS/SAT) с собственной образовательной платформой и очной студией. Полная стоимость проекта — 350 000 000 сум, из которых 210 000 000 сум — банковский кредит на 30 месяцев под 22% годовых с льготным периодом 3 месяца(ев), остальное — собственный капитал инициатора. При выходе на проектную мощность выручка составляет 112 000 000 сум/мес; см. раздел «Финансовый план» ниже по срокам окупаемости.</w:t>
                </w:r>
              </w:p>
            </w:tc>
          </w:tr>
        </w:tbl>
      </w:sdtContent>
    </w:sdt>
    <w:p>
      <w:r>
        <w:t>[Впишите] В 5-8 предложениях: суть проекта, какую проблему решает, для кого, требуемая сумма инвестиций и на что она пойдёт, ожидаемый результат (выручка/прибыль/срок окупаемости).</w:t>
      </w:r>
    </w:p>
    <w:p>
      <w:pPr>
        <w:pStyle w:val="Heading2"/>
        <ck:id v="borrower"/>
      </w:pPr>
      <w:bookmarkStart w:id="3" w:name="borrower"/>
      <w:r>
        <w:t>Информация о заёмщике</w:t>
      </w:r>
      <w:bookmarkEnd w:id="3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Реквизит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Полное наименование</w:t>
            </w:r>
          </w:p>
        </w:tc>
        <w:tc>
          <w:tcPr/>
          <w:p>
            <w:r>
              <w:t>ООО «Bilim Yo'li Study Center» (пример)</w:t>
            </w:r>
          </w:p>
        </w:tc>
      </w:tr>
      <w:tr>
        <w:tc>
          <w:tcPr/>
          <w:p>
            <w:r>
              <w:t>Организационно-правовая форма</w:t>
            </w:r>
          </w:p>
        </w:tc>
        <w:tc>
          <w:tcPr/>
          <w:p>
            <w:r>
              <w:t>ООО</w:t>
            </w:r>
          </w:p>
        </w:tc>
      </w:tr>
      <w:tr>
        <w:tc>
          <w:tcPr/>
          <w:p>
            <w:r>
              <w:t>Регион / адрес</w:t>
            </w:r>
          </w:p>
        </w:tc>
        <w:tc>
          <w:tcPr/>
          <w:p>
            <w:r>
              <w:t>[Впишите] — юридический и фактический адрес</w:t>
            </w:r>
          </w:p>
        </w:tc>
      </w:tr>
      <w:tr>
        <w:tc>
          <w:tcPr/>
          <w:p>
            <w:r>
              <w:t>ИНН / № свидетельства о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Учредители и доли</w:t>
            </w:r>
          </w:p>
        </w:tc>
        <w:tc>
          <w:tcPr/>
          <w:p>
            <w:r>
              <w:t>[Впишите] — Ф.И.О. / наименование, доли участия</w:t>
            </w:r>
          </w:p>
        </w:tc>
      </w:tr>
      <w:tr>
        <w:tc>
          <w:tcPr/>
          <w:p>
            <w:r>
              <w:t>Основной вид деятельности</w:t>
            </w:r>
          </w:p>
        </w:tc>
        <w:tc>
          <w:tcPr/>
          <w:p>
            <w:r>
              <w:t>Образование и онлайн-курсы</w:t>
            </w:r>
          </w:p>
        </w:tc>
      </w:tr>
      <w:tr>
        <w:tc>
          <w:tcPr/>
          <w:p>
            <w:r>
              <w:t>Дата государственной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Руководитель</w:t>
            </w:r>
          </w:p>
        </w:tc>
        <w:tc>
          <w:tcPr/>
          <w:p>
            <w:r>
              <w:t>[Впишите] — Ф.И.О., должность</w:t>
            </w:r>
          </w:p>
        </w:tc>
      </w:tr>
      <w:tr>
        <w:tc>
          <w:tcPr/>
          <w:p>
            <w:r>
              <w:t>Банковские реквизиты</w:t>
            </w:r>
          </w:p>
        </w:tc>
        <w:tc>
          <w:tcPr/>
          <w:p>
            <w:r>
              <w:t>[Впишите] — обслуживающий банк, расчётный счёт</w:t>
            </w:r>
          </w:p>
        </w:tc>
      </w:tr>
    </w:tbl>
    <w:p>
      <w:r>
        <w:t>[Впишите] Реквизиты выше — не заполняйте вымышленными номерами: используйте настоящие данные вашей организации при подаче в банк.</w:t>
      </w:r>
    </w:p>
    <w:p>
      <w:pPr>
        <w:pStyle w:val="Heading2"/>
        <ck:id v="project-description"/>
      </w:pPr>
      <w:bookmarkStart w:id="4" w:name="project_description"/>
      <w:r>
        <w:t>Описание проекта</w:t>
      </w:r>
      <w:bookmarkEnd w:id="4"/>
    </w:p>
    <w:p>
      <w:r>
        <w:t>[Впишите] Организационно-правовая форма, текущий статус проекта (идея / действующий бизнес / расширение), уникальное торговое предложение, этапы реализации.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(1) разработка платформы (LMS) и учебных материалов — месяцы 1-2; (2) запуск маркетинговой кампании и набор первых групп — месяцы 2-3; (3) выход на плановые 300 учеников — с 4-5-го месяца.</w:t>
                </w:r>
              </w:p>
            </w:tc>
          </w:tr>
        </w:tbl>
      </w:sdtContent>
    </w:sdt>
    <w:p>
      <w:pPr>
        <w:pStyle w:val="Heading2"/>
        <ck:id v="market"/>
      </w:pPr>
      <w:bookmarkStart w:id="5" w:name="market"/>
      <w:r>
        <w:t>Анализ рынка: Образование и онлайн-курсы</w:t>
      </w:r>
      <w:bookmarkEnd w:id="5"/>
    </w:p>
    <w:p>
      <w:pPr>
        <w:pStyle w:val="ListParagraph"/>
        <w:numPr>
          <w:ilvl w:val="0"/>
          <w:numId w:val="1"/>
        </w:numPr>
      </w:pPr>
      <w:r>
        <w:t>Растёт спрос на дополнительное образование в Узбекистане — особенно IT, языки, подготовка к экзаменам и поступлению за рубеж.</w:t>
      </w:r>
    </w:p>
    <w:p>
      <w:pPr>
        <w:pStyle w:val="ListParagraph"/>
        <w:numPr>
          <w:ilvl w:val="0"/>
          <w:numId w:val="1"/>
        </w:numPr>
      </w:pPr>
      <w:r>
        <w:t>Рынок EdTech растёт быстрыми темпами: топ-35 edtech-компаний Узбекистана заработали в 2024 году 118 млрд сум (рост на 94% год к году); сегмент детского онлайн-образования вырос на +1095% год к году (edtechs.ru).</w:t>
      </w:r>
    </w:p>
    <w:p>
      <w:pPr>
        <w:pStyle w:val="ListParagraph"/>
        <w:numPr>
          <w:ilvl w:val="0"/>
          <w:numId w:val="1"/>
        </w:numPr>
      </w:pPr>
      <w:r>
        <w:t>Государство поддерживает цифровизацию образования и упрощение лицензирования частных школ и курсов.</w:t>
      </w:r>
    </w:p>
    <w:p>
      <w:pPr>
        <w:pStyle w:val="ListParagraph"/>
        <w:numPr>
          <w:ilvl w:val="0"/>
          <w:numId w:val="1"/>
        </w:numPr>
      </w:pPr>
      <w:r>
        <w:t>Конкуренция со стороны международных онлайн-платформ (Coursera, Skillbox, Яндекс.Практикум) требует чёткой локализации контента и практической пользы под местный рынок труда.</w:t>
      </w:r>
    </w:p>
    <w:p>
      <w:pPr>
        <w:pStyle w:val="ListParagraph"/>
        <w:numPr>
          <w:ilvl w:val="0"/>
          <w:numId w:val="1"/>
        </w:numPr>
      </w:pPr>
      <w:r>
        <w:t>Для сравнения: рынки России и Казахстана в EdTech более зрелые и консолидированы вокруг нескольких платформ — узбекские предприниматели чаще выигрывают через локальную специализацию (подготовка к местным экзаменам, дефицитные языки/навыки).</w:t>
      </w:r>
    </w:p>
    <w:p>
      <w:pPr>
        <w:pStyle w:val="ListParagraph"/>
        <w:numPr>
          <w:ilvl w:val="0"/>
          <w:numId w:val="1"/>
        </w:numPr>
      </w:pPr>
      <w:r>
        <w:t>[Впишите] Уточните актуальные объёмы рынка, цены и конкурентов в вашем конкретном сегменте и регионе по данным отраслевой статистики и профильных ассоциаций.</w:t>
      </w:r>
    </w:p>
    <w:p>
      <w:pPr>
        <w:pStyle w:val="Heading3"/>
        <ck:id v="section-1"/>
      </w:pPr>
      <w:bookmarkStart w:id="6" w:name="section_1"/>
      <w:r>
        <w:t>Конкуренты</w:t>
      </w:r>
      <w:bookmarkEnd w:id="6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 — вымышленные компании для иллюстрации формата таблицы</w:t>
                </w:r>
              </w:p>
              <w:tbl>
                <w:tblPr>
                  <w:tblStyle w:val="CkTable"/>
                  <w:tblW w:w="0" w:type="auto"/>
                  <w:tblLayout w:type="autofit"/>
                  <w:tblLook w:firstRow="1" w:lastRow="0" w:firstColumn="0" w:lastColumn="0" w:noHBand="0" w:noVBand="1"/>
                </w:tblPr>
                <w:tblGrid>
                  <w:gridCol/>
                  <w:gridCol/>
                  <w:gridCol/>
                  <w:gridCol/>
                </w:tblGrid>
                <w:tr>
                  <w:trPr>
                    <w:tblHeader/>
                  </w:trPr>
                  <w:tc>
                    <w:tcPr/>
                    <w:p>
                      <w:r>
                        <w:rPr>
                          <w:b/>
                        </w:rPr>
                        <w:t>Конкурент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Профиль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Сильные стороны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Слабые стороны</w:t>
                      </w:r>
                    </w:p>
                  </w:tc>
                </w:tr>
                <w:tr>
                  <w:tc>
                    <w:tcPr/>
                    <w:p>
                      <w:r>
                        <w:t>Онлайн-школа «SmartAvlod»</w:t>
                      </w:r>
                    </w:p>
                  </w:tc>
                  <w:tc>
                    <w:tcPr/>
                    <w:p>
                      <w:r>
                        <w:t>подготовка к межд. экзаменам по математике и английскому для 9-11 классов</w:t>
                      </w:r>
                    </w:p>
                  </w:tc>
                  <w:tc>
                    <w:tcPr/>
                    <w:p>
                      <w:r>
                        <w:t>готовая платформа, узнаваемый бренд</w:t>
                      </w:r>
                    </w:p>
                  </w:tc>
                  <w:tc>
                    <w:tcPr/>
                    <w:p>
                      <w:r>
                        <w:t>фокус только на школьниках 9-11 классов</w:t>
                      </w:r>
                    </w:p>
                  </w:tc>
                </w:tr>
                <w:tr>
                  <w:tc>
                    <w:tcPr/>
                    <w:p>
                      <w:r>
                        <w:t>Центр «IELTS Champion»</w:t>
                      </w:r>
                    </w:p>
                  </w:tc>
                  <w:tc>
                    <w:tcPr/>
                    <w:p>
                      <w:r>
                        <w:t>офлайн-центр подготовки к IELTS/SAT в Ташкенте</w:t>
                      </w:r>
                    </w:p>
                  </w:tc>
                  <w:tc>
                    <w:tcPr/>
                    <w:p>
                      <w:r>
                        <w:t>опытные преподаватели-практики</w:t>
                      </w:r>
                    </w:p>
                  </w:tc>
                  <w:tc>
                    <w:tcPr/>
                    <w:p>
                      <w:r>
                        <w:t>только офлайн-формат, ограниченный охват вне Ташкента</w:t>
                      </w:r>
                    </w:p>
                  </w:tc>
                </w:tr>
                <w:tr>
                  <w:tc>
                    <w:tcPr/>
                    <w:p>
                      <w:r>
                        <w:t>Платформа «Bilimdon Online»</w:t>
                      </w:r>
                    </w:p>
                  </w:tc>
                  <w:tc>
                    <w:tcPr/>
                    <w:p>
                      <w:r>
                        <w:t>широкий каталог онлайн-курсов по разным предметам</w:t>
                      </w:r>
                    </w:p>
                  </w:tc>
                  <w:tc>
                    <w:tcPr/>
                    <w:p>
                      <w:r>
                        <w:t>большой ассортимент курсов</w:t>
                      </w:r>
                    </w:p>
                  </w:tc>
                  <w:tc>
                    <w:tcPr/>
                    <w:p>
                      <w:r>
                        <w:t>менее глубокая специализация по каждому экзамену</w:t>
                      </w:r>
                    </w:p>
                  </w:tc>
                </w:tr>
                <w:tr>
                  <w:tc>
                    <w:tcPr/>
                    <w:p>
                      <w:r>
                        <w:t>Репетиторский сервис «UstozTop»</w:t>
                      </w:r>
                    </w:p>
                  </w:tc>
                  <w:tc>
                    <w:tcPr/>
                    <w:p>
                      <w:r>
                        <w:t>маркетплейс индивидуальных репетиторов</w:t>
                      </w:r>
                    </w:p>
                  </w:tc>
                  <w:tc>
                    <w:tcPr/>
                    <w:p>
                      <w:r>
                        <w:t>гибкость и индивидуальный подход</w:t>
                      </w:r>
                    </w:p>
                  </w:tc>
                  <w:tc>
                    <w:tcPr/>
                    <w:p>
                      <w:r>
                        <w:t>нет структурированной программы и группового формата</w:t>
                      </w:r>
                    </w:p>
                  </w:tc>
                </w:tr>
              </w:tbl>
              <w:p/>
            </w:tc>
          </w:tr>
        </w:tbl>
      </w:sdtContent>
    </w:sdt>
    <w:p>
      <w:r>
        <w:t>[Впишите] Список из 3-5 РЕАЛЬНЫХ прямых конкурентов вашего проекта (компании выше — вымышленный пример для иллюстрации формата), их сильные и слабые стороны, чем вы отличаетесь.</w:t>
      </w:r>
    </w:p>
    <w:p>
      <w:pPr>
        <w:pStyle w:val="Heading3"/>
        <ck:id v="section-2"/>
      </w:pPr>
      <w:bookmarkStart w:id="7" w:name="section_2"/>
      <w:r>
        <w:t>Конкурентный ответ</w:t>
      </w:r>
      <w:bookmarkEnd w:id="7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Фактор конкуренции</w:t>
            </w:r>
          </w:p>
        </w:tc>
        <w:tc>
          <w:tcPr/>
          <w:p>
            <w:r>
              <w:rPr>
                <w:b/>
              </w:rPr>
              <w:t>Подход компании</w:t>
            </w:r>
          </w:p>
        </w:tc>
      </w:tr>
      <w:tr>
        <w:tc>
          <w:tcPr/>
          <w:p>
            <w:r>
              <w:t>Локализация</w:t>
            </w:r>
          </w:p>
        </w:tc>
        <w:tc>
          <w:tcPr/>
          <w:p>
            <w:r>
              <w:t>программы под конкретные международные экзамены на узбекском и русском языках, а не перевод зарубежных курсов</w:t>
            </w:r>
          </w:p>
        </w:tc>
      </w:tr>
      <w:tr>
        <w:tc>
          <w:tcPr/>
          <w:p>
            <w:r>
              <w:t>Формат</w:t>
            </w:r>
          </w:p>
        </w:tc>
        <w:tc>
          <w:tcPr/>
          <w:p>
            <w:r>
              <w:t>сочетание коротких видеоуроков и живых групповых занятий для вовлечённости</w:t>
            </w:r>
          </w:p>
        </w:tc>
      </w:tr>
      <w:tr>
        <w:tc>
          <w:tcPr/>
          <w:p>
            <w:r>
              <w:t>Цена</w:t>
            </w:r>
          </w:p>
        </w:tc>
        <w:tc>
          <w:tcPr/>
          <w:p>
            <w:r>
              <w:t>абонентская плата за месяц с более дешёвым пакетом при оплате за семестр</w:t>
            </w:r>
          </w:p>
        </w:tc>
      </w:tr>
    </w:tbl>
    <w:p>
      <w:pPr>
        <w:pStyle w:val="Heading3"/>
        <ck:id v="section-3"/>
      </w:pPr>
      <w:bookmarkStart w:id="8" w:name="section_3"/>
      <w:r>
        <w:t>Целевая аудитория</w:t>
      </w:r>
      <w:bookmarkEnd w:id="8"/>
    </w:p>
    <w:p>
      <w:r>
        <w:t>[Впишите] Портрет основного клиента. Пример: Школьники 9-11 классов (и их родители, принимающие решение об оплате), готовящиеся к международным экзаменам и поступлению за рубеж; для них важны результат (баллы экзамена), удобство расписания и цена по сравнению с офлайн-репетиторами.</w:t>
      </w:r>
    </w:p>
    <w:p>
      <w:pPr>
        <w:pStyle w:val="Heading2"/>
        <ck:id v="marketing"/>
      </w:pPr>
      <w:bookmarkStart w:id="9" w:name="marketing"/>
      <w:r>
        <w:t>Маркетинговый план</w:t>
      </w:r>
      <w:bookmarkEnd w:id="9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Цена — абонентская плата за месяц доступа с более дешёвым пакетом при оплате за семестр; продвижение — бесплатные пробные уроки и полезный контент в Telegram/Instagram, реферальная программа для действующих учеников, партнёрство с 2-3 школами на пилотные группы.</w:t>
                </w:r>
              </w:p>
            </w:tc>
          </w:tr>
        </w:tbl>
      </w:sdtContent>
    </w:sdt>
    <w:p>
      <w:r>
        <w:t>[Впишите] Ценообразование, каналы продвижения и продаж, план привлечения первых клиентов.</w:t>
      </w:r>
    </w:p>
    <w:p>
      <w:pPr>
        <w:pStyle w:val="Heading2"/>
        <ck:id v="org"/>
      </w:pPr>
      <w:bookmarkStart w:id="10" w:name="org"/>
      <w:r>
        <w:t>Организационный план и персонал</w:t>
      </w:r>
      <w:bookmarkEnd w:id="10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Методист (административный блок) и преподаватели part-time (производственный персонал, вовлечены в проведение занятий). Форма — ООО с лицензией на образовательную деятельность.</w:t>
                </w:r>
              </w:p>
            </w:tc>
          </w:tr>
        </w:tbl>
      </w:sdtContent>
    </w:sdt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Должность</w:t>
            </w:r>
          </w:p>
        </w:tc>
        <w:tc>
          <w:tcPr/>
          <w:p>
            <w:r>
              <w:rPr>
                <w:b/>
              </w:rPr>
              <w:t>Кол-во, чел.</w:t>
            </w:r>
          </w:p>
        </w:tc>
        <w:tc>
          <w:tcPr/>
          <w:p>
            <w:r>
              <w:rPr>
                <w:b/>
              </w:rPr>
              <w:t>Оклад, сум/мес</w:t>
            </w:r>
          </w:p>
        </w:tc>
        <w:tc>
          <w:tcPr/>
          <w:p>
            <w:r>
              <w:rPr>
                <w:b/>
              </w:rPr>
              <w:t>ФОТ, сум/мес</w:t>
            </w:r>
          </w:p>
        </w:tc>
        <w:tc>
          <w:tcPr/>
          <w:p>
            <w:r>
              <w:rPr>
                <w:b/>
              </w:rPr>
              <w:t>Категория</w:t>
            </w:r>
          </w:p>
        </w:tc>
      </w:tr>
      <w:tr>
        <w:tc>
          <w:tcPr/>
          <w:p>
            <w:r>
              <w:t>Преподаватели (part-time)</w:t>
            </w:r>
          </w:p>
        </w:tc>
        <w:tc>
          <w:tcPr/>
          <w:p>
            <w:r>
              <w:t>9</w:t>
            </w:r>
          </w:p>
        </w:tc>
        <w:tc>
          <w:tcPr/>
          <w:p>
            <w:r>
              <w:t>3 500 000</w:t>
            </w:r>
          </w:p>
        </w:tc>
        <w:tc>
          <w:tcPr/>
          <w:p>
            <w:r>
              <w:t>31 500 000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Методист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3 500 000</w:t>
            </w:r>
          </w:p>
        </w:tc>
        <w:tc>
          <w:tcPr/>
          <w:p>
            <w:r>
              <w:t>3 500 000</w:t>
            </w:r>
          </w:p>
        </w:tc>
        <w:tc>
          <w:tcPr/>
          <w:p>
            <w:r>
              <w:t>Административный</w:t>
            </w:r>
          </w:p>
        </w:tc>
      </w:tr>
      <w:tr>
        <w:tc>
          <w:tcPr/>
          <w:p>
            <w:r>
              <w:rPr>
                <w:b/>
              </w:rPr>
              <w:t>Итого персонал</w:t>
            </w:r>
          </w:p>
        </w:tc>
        <w:tc>
          <w:tcPr/>
          <w:p>
            <w:r>
              <w:rPr>
                <w:b/>
              </w:rPr>
              <w:t>10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35 000 000</w:t>
            </w:r>
          </w:p>
        </w:tc>
        <w:tc>
          <w:tcPr/>
          <w:p/>
        </w:tc>
      </w:tr>
      <w:tr>
        <w:tc>
          <w:tcPr/>
          <w:p>
            <w:r>
              <w:t>ЕСП (единый социальный платёж, 12% от ФОТ)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t>4 200 000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ФОТ с ЕСП, сум/мес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rPr>
                <w:b/>
              </w:rPr>
              <w:t>39 200 000</w:t>
            </w:r>
          </w:p>
        </w:tc>
        <w:tc>
          <w:tcPr/>
          <w:p/>
        </w:tc>
      </w:tr>
    </w:tbl>
    <w:p>
      <w:r>
        <w:t>[Впишите] Штатное расписание, оклады и организационно-правовая форма вашей компании.</w:t>
      </w:r>
    </w:p>
    <w:p>
      <w:pPr>
        <w:pStyle w:val="Heading2"/>
        <ck:id v="financing"/>
      </w:pPr>
      <w:bookmarkStart w:id="11" w:name="financing"/>
      <w:r>
        <w:t>Смета проекта и структура финансирования</w:t>
      </w:r>
      <w:bookmarkEnd w:id="11"/>
    </w:p>
    <w:p>
      <w:r>
        <w:rPr>
          <w:b/>
        </w:rPr>
        <w:t>Смета проекта (стартовые инвестиции)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Тип актива</w:t>
            </w:r>
          </w:p>
        </w:tc>
      </w:tr>
      <w:tr>
        <w:tc>
          <w:tcPr/>
          <w:p>
            <w:r>
              <w:t>Разработка образовательной платформы</w:t>
            </w:r>
          </w:p>
        </w:tc>
        <w:tc>
          <w:tcPr/>
          <w:p>
            <w:r>
              <w:t>120 000 000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Оборудование / IT-инфраструктура</w:t>
            </w:r>
          </w:p>
        </w:tc>
        <w:tc>
          <w:tcPr/>
          <w:p>
            <w:r>
              <w:t>90 000 000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Учебные материалы и лицензии на контент</w:t>
            </w:r>
          </w:p>
        </w:tc>
        <w:tc>
          <w:tcPr/>
          <w:p>
            <w:r>
              <w:t>60 000 000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Регистрация образовательной деятельности</w:t>
            </w:r>
          </w:p>
        </w:tc>
        <w:tc>
          <w:tcPr/>
          <w:p>
            <w:r>
              <w:t>10 000 000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Маркетинг запуска</w:t>
            </w:r>
          </w:p>
        </w:tc>
        <w:tc>
          <w:tcPr/>
          <w:p>
            <w:r>
              <w:t>70 000 000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Итого основные средства</w:t>
            </w:r>
          </w:p>
        </w:tc>
        <w:tc>
          <w:tcPr/>
          <w:p>
            <w:r>
              <w:rPr>
                <w:b/>
              </w:rPr>
              <w:t>210 000 000</w:t>
            </w:r>
          </w:p>
        </w:tc>
        <w:tc>
          <w:tcPr/>
          <w:p/>
        </w:tc>
      </w:tr>
      <w:tr>
        <w:tc>
          <w:tcPr/>
          <w:p>
            <w:r>
              <w:t>Итого оборотные средства</w:t>
            </w:r>
          </w:p>
        </w:tc>
        <w:tc>
          <w:tcPr/>
          <w:p>
            <w:r>
              <w:rPr>
                <w:b/>
              </w:rPr>
              <w:t>140 000 000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СМЕТА ПРОЕКТА</w:t>
            </w:r>
          </w:p>
        </w:tc>
        <w:tc>
          <w:tcPr/>
          <w:p>
            <w:r>
              <w:rPr>
                <w:b/>
              </w:rPr>
              <w:t>350 000 000</w:t>
            </w:r>
          </w:p>
        </w:tc>
        <w:tc>
          <w:tcPr/>
          <w:p/>
        </w:tc>
      </w:tr>
    </w:tbl>
    <w:p>
      <w:r>
        <w:rPr>
          <w:rStyle w:val="CkCaption"/>
          <w:i/>
        </w:rPr>
        <w:t>В этом примере расчётная величина дополнительного финансирования оборотного капитала на выход на мощность равна нулю — стартовых статей ниже (плюс условия кредита: льготный период 3 мес.) достаточно, чтобы денежный поток оставался положительным весь Год 1 без дополнительного пополнения (см. лист «Поток наличности» в Excel).</w:t>
      </w:r>
    </w:p>
    <w:p>
      <w:r>
        <w:rPr>
          <w:b/>
        </w:rPr>
        <w:t>Структура финансирования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Источник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Доля, %</w:t>
            </w:r>
          </w:p>
        </w:tc>
      </w:tr>
      <w:tr>
        <w:tc>
          <w:tcPr/>
          <w:p>
            <w:r>
              <w:t>Банковский кредит</w:t>
            </w:r>
          </w:p>
        </w:tc>
        <w:tc>
          <w:tcPr/>
          <w:p>
            <w:r>
              <w:t>210 000 000</w:t>
            </w:r>
          </w:p>
        </w:tc>
        <w:tc>
          <w:tcPr/>
          <w:p>
            <w:r>
              <w:t>58,8%</w:t>
            </w:r>
          </w:p>
        </w:tc>
      </w:tr>
      <w:tr>
        <w:tc>
          <w:tcPr/>
          <w:p>
            <w:r>
              <w:t>Собственный капитал инициатора</w:t>
            </w:r>
          </w:p>
        </w:tc>
        <w:tc>
          <w:tcPr/>
          <w:p>
            <w:r>
              <w:t>147 250 000</w:t>
            </w:r>
          </w:p>
        </w:tc>
        <w:tc>
          <w:tcPr/>
          <w:p>
            <w:r>
              <w:t>41,2%</w:t>
            </w:r>
          </w:p>
        </w:tc>
      </w:tr>
      <w:tr>
        <w:tc>
          <w:tcPr/>
          <w:p>
            <w:r>
              <w:rPr>
                <w:b/>
              </w:rPr>
              <w:t>ИТОГО ПОТРЕБНОСТЬ В ФИНАНСИРОВАНИИ</w:t>
            </w:r>
          </w:p>
        </w:tc>
        <w:tc>
          <w:tcPr/>
          <w:p>
            <w:r>
              <w:rPr>
                <w:b/>
              </w:rPr>
              <w:t>357 250 000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</w:tr>
    </w:tbl>
    <w:p>
      <w:r>
        <w:rPr>
          <w:b/>
        </w:rPr>
        <w:t>Условия кредита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Параметр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Сумма кредита</w:t>
            </w:r>
          </w:p>
        </w:tc>
        <w:tc>
          <w:tcPr/>
          <w:p>
            <w:r>
              <w:t>210 000 000 сум</w:t>
            </w:r>
          </w:p>
        </w:tc>
      </w:tr>
      <w:tr>
        <w:tc>
          <w:tcPr/>
          <w:p>
            <w:r>
              <w:t>Срок</w:t>
            </w:r>
          </w:p>
        </w:tc>
        <w:tc>
          <w:tcPr/>
          <w:p>
            <w:r>
              <w:t>30 месяцев</w:t>
            </w:r>
          </w:p>
        </w:tc>
      </w:tr>
      <w:tr>
        <w:tc>
          <w:tcPr/>
          <w:p>
            <w:r>
              <w:t>Процентная ставка</w:t>
            </w:r>
          </w:p>
        </w:tc>
        <w:tc>
          <w:tcPr/>
          <w:p>
            <w:r>
              <w:t>22% годовых</w:t>
            </w:r>
          </w:p>
        </w:tc>
      </w:tr>
      <w:tr>
        <w:tc>
          <w:tcPr/>
          <w:p>
            <w:r>
              <w:t>Льготный период (уплата только процентов)</w:t>
            </w:r>
          </w:p>
        </w:tc>
        <w:tc>
          <w:tcPr/>
          <w:p>
            <w:r>
              <w:t>3 месяца(ев)</w:t>
            </w:r>
          </w:p>
        </w:tc>
      </w:tr>
      <w:tr>
        <w:tc>
          <w:tcPr/>
          <w:p>
            <w:r>
              <w:t>Порядок погашения основного долга</w:t>
            </w:r>
          </w:p>
        </w:tc>
        <w:tc>
          <w:tcPr/>
          <w:p>
            <w:r>
              <w:t>равными долями после льготного периода</w:t>
            </w:r>
          </w:p>
        </w:tc>
      </w:tr>
      <w:tr>
        <w:tc>
          <w:tcPr/>
          <w:p>
            <w:r>
              <w:t>Разовые сборы (комиссия банка 1,5%, нотариальное оформление залога, страхование залога 1%)</w:t>
            </w:r>
          </w:p>
        </w:tc>
        <w:tc>
          <w:tcPr/>
          <w:p>
            <w:r>
              <w:t>7 250 000 сум</w:t>
            </w:r>
          </w:p>
        </w:tc>
      </w:tr>
    </w:tbl>
    <w:p>
      <w:r>
        <w:t>[Впишите] Замените суммы, условия кредита и долю собственного капитала на данные вашего проекта — банк оценивает прежде всего долю собственного участия заёмщика и достаточность залогового обеспечения.</w:t>
      </w:r>
    </w:p>
    <w:p>
      <w:pPr>
        <w:pStyle w:val="Heading2"/>
        <ck:id v="financial-plan"/>
      </w:pPr>
      <w:bookmarkStart w:id="12" w:name="financial_plan"/>
      <w:r>
        <w:t>Финансовый план</w:t>
      </w:r>
      <w:bookmarkEnd w:id="12"/>
    </w:p>
    <w:p>
      <w:r>
        <w:rPr>
          <w:rStyle w:val="CkCaption"/>
          <w:i/>
        </w:rPr>
        <w:t>Показатели ниже рассчитаны в приложенном Excel-файле по формулам и приведены здесь для удобства чтения; при изменении исходных данных в Excel все цифры пересчитаются автоматически.</w:t>
      </w:r>
    </w:p>
    <w:p>
      <w:r>
        <w:rPr>
          <w:b/>
        </w:rPr>
        <w:t>Выручка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Канал сбыта</w:t>
            </w:r>
          </w:p>
        </w:tc>
        <w:tc>
          <w:tcPr/>
          <w:p>
            <w:r>
              <w:rPr>
                <w:b/>
              </w:rPr>
              <w:t>Доля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</w:tr>
      <w:tr>
        <w:tc>
          <w:tcPr/>
          <w:p>
            <w:r>
              <w:t>Оплата курсов / абонементов слушателями</w:t>
            </w:r>
          </w:p>
        </w:tc>
        <w:tc>
          <w:tcPr/>
          <w:p>
            <w:r>
              <w:t>86%</w:t>
            </w:r>
          </w:p>
        </w:tc>
        <w:tc>
          <w:tcPr/>
          <w:p>
            <w:r>
              <w:t>96 000 000</w:t>
            </w:r>
          </w:p>
        </w:tc>
      </w:tr>
      <w:tr>
        <w:tc>
          <w:tcPr/>
          <w:p>
            <w:r>
              <w:t>Корпоративное обучение</w:t>
            </w:r>
          </w:p>
        </w:tc>
        <w:tc>
          <w:tcPr/>
          <w:p>
            <w:r>
              <w:t>5%</w:t>
            </w:r>
          </w:p>
        </w:tc>
        <w:tc>
          <w:tcPr/>
          <w:p>
            <w:r>
              <w:t>6 000 000</w:t>
            </w:r>
          </w:p>
        </w:tc>
      </w:tr>
      <w:tr>
        <w:tc>
          <w:tcPr/>
          <w:p>
            <w:r>
              <w:t>Продажа записанных курсов и материалов</w:t>
            </w:r>
          </w:p>
        </w:tc>
        <w:tc>
          <w:tcPr/>
          <w:p>
            <w:r>
              <w:t>4%</w:t>
            </w:r>
          </w:p>
        </w:tc>
        <w:tc>
          <w:tcPr/>
          <w:p>
            <w:r>
              <w:t>4 000 000</w:t>
            </w:r>
          </w:p>
        </w:tc>
      </w:tr>
      <w:tr>
        <w:tc>
          <w:tcPr/>
          <w:p>
            <w:r>
              <w:t>Интенсивы и мастер-классы</w:t>
            </w:r>
          </w:p>
        </w:tc>
        <w:tc>
          <w:tcPr/>
          <w:p>
            <w:r>
              <w:t>5%</w:t>
            </w:r>
          </w:p>
        </w:tc>
        <w:tc>
          <w:tcPr/>
          <w:p>
            <w:r>
              <w:t>6 000 000</w:t>
            </w:r>
          </w:p>
        </w:tc>
      </w:tr>
      <w:tr>
        <w:tc>
          <w:tcPr/>
          <w:p>
            <w:r>
              <w:rPr>
                <w:b/>
              </w:rPr>
              <w:t>ИТОГО ВЫРУЧКА ПРИ ПОЛНОЙ МОЩНОСТИ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>
            <w:r>
              <w:rPr>
                <w:b/>
              </w:rPr>
              <w:t>112 000 000</w:t>
            </w:r>
          </w:p>
        </w:tc>
      </w:tr>
    </w:tbl>
    <w:p>
      <w:r>
        <w:rPr>
          <w:b/>
        </w:rPr>
        <w:t>Затраты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  <w:tc>
          <w:tcPr/>
          <w:p>
            <w:r>
              <w:rPr>
                <w:b/>
              </w:rPr>
              <w:t>Доля постоянных</w:t>
            </w:r>
          </w:p>
        </w:tc>
      </w:tr>
      <w:tr>
        <w:tc>
          <w:tcPr/>
          <w:p>
            <w:r>
              <w:t>Коммунальные услуги</w:t>
            </w:r>
          </w:p>
        </w:tc>
        <w:tc>
          <w:tcPr/>
          <w:p>
            <w:r>
              <w:t>7 000 000</w:t>
            </w:r>
          </w:p>
        </w:tc>
        <w:tc>
          <w:tcPr/>
          <w:p>
            <w:r>
              <w:t>30%</w:t>
            </w:r>
          </w:p>
        </w:tc>
      </w:tr>
      <w:tr>
        <w:tc>
          <w:tcPr/>
          <w:p>
            <w:r>
              <w:t>ФОТ и ЕСП производственный</w:t>
            </w:r>
          </w:p>
        </w:tc>
        <w:tc>
          <w:tcPr/>
          <w:p>
            <w:r>
              <w:t>35 280 000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ФОТ и ЕСП административный</w:t>
            </w:r>
          </w:p>
        </w:tc>
        <w:tc>
          <w:tcPr/>
          <w:p>
            <w:r>
              <w:t>3 920 000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Амортизация</w:t>
            </w:r>
          </w:p>
        </w:tc>
        <w:tc>
          <w:tcPr/>
          <w:p>
            <w:r>
              <w:t>3 875 000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Прочие общехозяйственные расходы</w:t>
            </w:r>
          </w:p>
        </w:tc>
        <w:tc>
          <w:tcPr/>
          <w:p>
            <w:r>
              <w:t>41 000 000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rPr>
                <w:b/>
              </w:rPr>
              <w:t>ИТОГО ЗАТРАТЫ ПРИ ПОЛНОЙ МОЩНОСТИ</w:t>
            </w:r>
          </w:p>
        </w:tc>
        <w:tc>
          <w:tcPr/>
          <w:p>
            <w:r>
              <w:rPr>
                <w:b/>
              </w:rPr>
              <w:t>91 075 000</w:t>
            </w:r>
          </w:p>
        </w:tc>
        <w:tc>
          <w:tcPr/>
          <w:p/>
        </w:tc>
      </w:tr>
    </w:tbl>
    <w:p>
      <w:r>
        <w:rPr>
          <w:b/>
        </w:rPr>
        <w:t>Выход на мощность в Году 1</w:t>
      </w:r>
      <w:r>
        <w:t xml:space="preserve"> — проект не стартует сразу со 100% загрузки: в модели заложен постепенный выход на проектную мощность за 6 месяцев (50% → 65% → 78% → 88% → 95% → 100%), что реалистичнее для нового бизнеса и напрямую влияет на потребность в оборотном капитале и денежный поток первых месяцев (см. лист «План продаж» в Excel).</w:t>
      </w:r>
    </w:p>
    <w:p>
      <w:r>
        <w:rPr>
          <w:b/>
        </w:rPr>
        <w:t>Ключевые показатели по месяцам Года 1, сум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Мес. 1</w:t>
            </w:r>
          </w:p>
        </w:tc>
        <w:tc>
          <w:tcPr/>
          <w:p>
            <w:r>
              <w:rPr>
                <w:b/>
              </w:rPr>
              <w:t>Мес. 3</w:t>
            </w:r>
          </w:p>
        </w:tc>
        <w:tc>
          <w:tcPr/>
          <w:p>
            <w:r>
              <w:rPr>
                <w:b/>
              </w:rPr>
              <w:t>Мес. 6</w:t>
            </w:r>
          </w:p>
        </w:tc>
        <w:tc>
          <w:tcPr/>
          <w:p>
            <w:r>
              <w:rPr>
                <w:b/>
              </w:rPr>
              <w:t>Мес. 12</w:t>
            </w:r>
          </w:p>
        </w:tc>
      </w:tr>
      <w:tr>
        <w:tc>
          <w:tcPr/>
          <w:p>
            <w:r>
              <w:t>Выручка</w:t>
            </w:r>
          </w:p>
        </w:tc>
        <w:tc>
          <w:tcPr/>
          <w:p>
            <w:r>
              <w:t>56 000 000</w:t>
            </w:r>
          </w:p>
        </w:tc>
        <w:tc>
          <w:tcPr/>
          <w:p>
            <w:r>
              <w:t>87 360 000</w:t>
            </w:r>
          </w:p>
        </w:tc>
        <w:tc>
          <w:tcPr/>
          <w:p>
            <w:r>
              <w:t>112 000 000</w:t>
            </w:r>
          </w:p>
        </w:tc>
        <w:tc>
          <w:tcPr/>
          <w:p>
            <w:r>
              <w:t>120 309 826</w:t>
            </w:r>
          </w:p>
        </w:tc>
      </w:tr>
      <w:tr>
        <w:tc>
          <w:tcPr/>
          <w:p>
            <w:r>
              <w:t>Чистая прибыль</w:t>
            </w:r>
          </w:p>
        </w:tc>
        <w:tc>
          <w:tcPr/>
          <w:p>
            <w:r>
              <w:t>−36 475 000</w:t>
            </w:r>
          </w:p>
        </w:tc>
        <w:tc>
          <w:tcPr/>
          <w:p>
            <w:r>
              <w:t>−6 487 000</w:t>
            </w:r>
          </w:p>
        </w:tc>
        <w:tc>
          <w:tcPr/>
          <w:p>
            <w:r>
              <w:t>14 756 157</w:t>
            </w:r>
          </w:p>
        </w:tc>
        <w:tc>
          <w:tcPr/>
          <w:p>
            <w:r>
              <w:t>22 237 710</w:t>
            </w:r>
          </w:p>
        </w:tc>
      </w:tr>
      <w:tr>
        <w:tc>
          <w:tcPr/>
          <w:p>
            <w:r>
              <w:t>Остаток денежных средств на конец периода</w:t>
            </w:r>
          </w:p>
        </w:tc>
        <w:tc>
          <w:tcPr/>
          <w:p>
            <w:r>
              <w:t>92 983 333</w:t>
            </w:r>
          </w:p>
        </w:tc>
        <w:tc>
          <w:tcPr/>
          <w:p>
            <w:r>
              <w:t>63 383 000</w:t>
            </w:r>
          </w:p>
        </w:tc>
        <w:tc>
          <w:tcPr/>
          <w:p>
            <w:r>
              <w:t>71 890 244</w:t>
            </w:r>
          </w:p>
        </w:tc>
        <w:tc>
          <w:tcPr/>
          <w:p>
            <w:r>
              <w:t>160 191 040</w:t>
            </w:r>
          </w:p>
        </w:tc>
      </w:tr>
    </w:tbl>
    <w:p>
      <w:r>
        <w:rPr>
          <w:rStyle w:val="CkCaption"/>
          <w:i/>
        </w:rPr>
        <w:t>Денежный поток остаётся положительным весь Год 1 при условии, что собственный капитал инициатора действительно покрывает не только основные средства, но и нарастание дебиторской задолженности и запасов на период выхода на мощность (см. смету выше).</w:t>
      </w:r>
    </w:p>
    <w:p>
      <w:r>
        <w:rPr>
          <w:b/>
        </w:rPr>
        <w:t>Точка безубыточности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Маржинальная рентабельность (вклад на покрытие)</w:t>
            </w:r>
          </w:p>
        </w:tc>
        <w:tc>
          <w:tcPr/>
          <w:p>
            <w:r>
              <w:t>95,6%</w:t>
            </w:r>
          </w:p>
        </w:tc>
      </w:tr>
      <w:tr>
        <w:tc>
          <w:tcPr/>
          <w:p>
            <w:r>
              <w:t>Постоянные затраты, сум/мес</w:t>
            </w:r>
          </w:p>
        </w:tc>
        <w:tc>
          <w:tcPr/>
          <w:p>
            <w:r>
              <w:t>86 175 000</w:t>
            </w:r>
          </w:p>
        </w:tc>
      </w:tr>
      <w:tr>
        <w:tc>
          <w:tcPr/>
          <w:p>
            <w:r>
              <w:t>Точка безубыточности по выручке, сум/мес</w:t>
            </w:r>
          </w:p>
        </w:tc>
        <w:tc>
          <w:tcPr/>
          <w:p>
            <w:r>
              <w:t>90 117 647</w:t>
            </w:r>
          </w:p>
        </w:tc>
      </w:tr>
      <w:tr>
        <w:tc>
          <w:tcPr/>
          <w:p>
            <w:r>
              <w:t>Точка безубыточности, % от проектной мощности</w:t>
            </w:r>
          </w:p>
        </w:tc>
        <w:tc>
          <w:tcPr/>
          <w:p>
            <w:r>
              <w:t>80,5%</w:t>
            </w:r>
          </w:p>
        </w:tc>
      </w:tr>
    </w:tbl>
    <w:p>
      <w:r>
        <w:rPr>
          <w:b/>
        </w:rPr>
        <w:t>Срок окупаемости и эффективность</w:t>
      </w:r>
    </w:p>
    <w:p>
      <w:r>
        <w:t>Срок окупаемости полной стоимости проекта (350 000 000 сум) по чистой прибыли на уровне проектной мощности (≈22 237 710 сум/мес к 12-му месяцу) — около 16 месяцев.</w:t>
      </w:r>
    </w:p>
    <w:p>
      <w:r>
        <w:rPr>
          <w:rStyle w:val="CkCaption"/>
          <w:i/>
        </w:rPr>
        <w:t>NPV и IRR в приложенном Excel-файле рассчитаны только за Год 1 проекта (12 месяцев) — в течение этого периода компания обычно ещё не успевает полностью окупить стартовые вложения. IRR за 12 месяцев математически не определяется, когда денежный поток года ещё не покрывает инвестиции (лист «NPV и IRR» показывает «н/д» в этом случае) — это ожидаемо для капиталоёмких проектов и не является ошибкой расчёта. Для реальной заявки в банк расширьте период анализа на нужное количество лет.</w:t>
      </w:r>
    </w:p>
    <w:p>
      <w:r>
        <w:t>[Впишите] Пересчитайте все показатели этого раздела на основе цен, ставок аренды/зарплат и объёмов продаж вашего проекта в вашем регионе — они автоматически обновятся и в приложенном Excel-файле.</w:t>
      </w:r>
    </w:p>
    <w:p>
      <w:pPr>
        <w:pStyle w:val="Heading2"/>
        <ck:id v="risks"/>
      </w:pPr>
      <w:bookmarkStart w:id="13" w:name="risks"/>
      <w:r>
        <w:t>Оценка рисков</w:t>
      </w:r>
      <w:bookmarkEnd w:id="13"/>
    </w:p>
    <w:p>
      <w:r>
        <w:rPr>
          <w:rStyle w:val="CkCaption"/>
          <w:i/>
        </w:rPr>
        <w:t>Веса ниже отражают ОТНОСИТЕЛЬНУЮ значимость рисков друг относительно друга (в сумме — 100%), а не вероятность в процентах; оценка — экспертная, по шкале от 1 (низкий риск) до 5 (высокий риск).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Риск</w:t>
            </w:r>
          </w:p>
        </w:tc>
        <w:tc>
          <w:tcPr/>
          <w:p>
            <w:r>
              <w:rPr>
                <w:b/>
              </w:rPr>
              <w:t>Вес, %</w:t>
            </w:r>
          </w:p>
        </w:tc>
        <w:tc>
          <w:tcPr/>
          <w:p>
            <w:r>
              <w:rPr>
                <w:b/>
              </w:rPr>
              <w:t>Оценка (1-5)</w:t>
            </w:r>
          </w:p>
        </w:tc>
        <w:tc>
          <w:tcPr/>
          <w:p>
            <w:r>
              <w:rPr>
                <w:b/>
              </w:rPr>
              <w:t>Взвешенный балл</w:t>
            </w:r>
          </w:p>
        </w:tc>
        <w:tc>
          <w:tcPr/>
          <w:p>
            <w:r>
              <w:rPr>
                <w:b/>
              </w:rPr>
              <w:t>Меры снижения</w:t>
            </w:r>
          </w:p>
        </w:tc>
      </w:tr>
      <w:tr>
        <w:tc>
          <w:tcPr/>
          <w:p>
            <w:r>
              <w:t>Конкуренция с бесплатным/международным контентом (YouTube и др.)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Фокус на локализацию, практическую пользу под местные экзамены, живое сопровождение учеников</w:t>
            </w:r>
          </w:p>
        </w:tc>
      </w:tr>
      <w:tr>
        <w:tc>
          <w:tcPr/>
          <w:p>
            <w:r>
              <w:t>Отток преподавателей к конкурентам или на индивидуальное репетиторство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Система мотивации, доля от повторных продлений, профессиональное развитие</w:t>
            </w:r>
          </w:p>
        </w:tc>
      </w:tr>
      <w:tr>
        <w:tc>
          <w:tcPr/>
          <w:p>
            <w:r>
              <w:t>Низкое завершение курсов учениками (отток на середине программы)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0,60</w:t>
            </w:r>
          </w:p>
        </w:tc>
        <w:tc>
          <w:tcPr/>
          <w:p>
            <w:r>
              <w:t>Геймификация, регулярная обратная связь и поддержка, промежуточные результаты для мотивации</w:t>
            </w:r>
          </w:p>
        </w:tc>
      </w:tr>
      <w:tr>
        <w:tc>
          <w:tcPr/>
          <w:p>
            <w:r>
              <w:t>Сезонность спроса (спад летом, пик перед экзаменами)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Специальные летние интенсивы и лагеря, гибкие тарифы под сезон</w:t>
            </w:r>
          </w:p>
        </w:tc>
      </w:tr>
      <w:tr>
        <w:tc>
          <w:tcPr/>
          <w:p>
            <w:r>
              <w:t>Изменение спроса по направлениям обучения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Регулярное обновление программы, пилотирование новых направлений на небольших группах</w:t>
            </w:r>
          </w:p>
        </w:tc>
      </w:tr>
      <w:tr>
        <w:tc>
          <w:tcPr/>
          <w:p>
            <w:r>
              <w:t>Регуляторные требования к защите данных детей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Своевременное лицензирование, политика защиты персональных данных учеников</w:t>
            </w:r>
          </w:p>
        </w:tc>
      </w:tr>
      <w:tr>
        <w:tc>
          <w:tcPr/>
          <w:p>
            <w:r>
              <w:rPr>
                <w:b/>
              </w:rPr>
              <w:t>ИТОГО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2,90 из 5</w:t>
            </w:r>
          </w:p>
        </w:tc>
        <w:tc>
          <w:tcPr/>
          <w:p/>
        </w:tc>
      </w:tr>
    </w:tbl>
    <w:p>
      <w:r>
        <w:t>Итоговая взвешенная оценка (2,90 из 5) отражает экспертную оценку совокупного уровня риска проекта.</w:t>
      </w:r>
    </w:p>
    <w:p>
      <w:r>
        <w:t>[Впишите] Дополните таблицу своими рисками, специфичными для вашего проекта и региона, и пересчитайте веса.</w:t>
      </w:r>
    </w:p>
    <w:p>
      <w:pPr>
        <w:pStyle w:val="Heading2"/>
        <ck:id v="conclusion"/>
      </w:pPr>
      <w:bookmarkStart w:id="14" w:name="conclusion"/>
      <w:r>
        <w:t>Заключение</w:t>
      </w:r>
      <w:bookmarkEnd w:id="14"/>
    </w:p>
    <w:p>
      <w:r>
        <w:t>[Впишите] Краткий вывод: почему проект целесообразен, какую пользу он приносит региону/отрасли, и какое решение вы просите у банка/инвестора.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расширяет доступ школьников к качественной подготовке к международным экзаменам по цене ниже офлайн-репетиторства, создаёт рабочие места для 10 преподавателей part-time и методиста.</w:t>
                </w:r>
              </w:p>
            </w:tc>
          </w:tr>
        </w:tbl>
      </w:sdtContent>
    </w:sdt>
    <w:sectPr>
      <ck:section v="1:||margins=1.1in,size=letter"/>
      <w:footerReference w:type="default" r:id="rIdHf1"/>
      <w:pgSz w:w="12240" w:h="15840"/>
      <w:pgMar w:top="1584" w:right="1584" w:bottom="1584" w:left="1584" w:header="720" w:footer="720" w:gutter="0"/>
    </w:sectPr>
  </w:body>
</w:document>
</file>

<file path=word/fontTable.xml><?xml version="1.0" encoding="utf-8"?>
<w:fonts xmlns:w="http://schemas.openxmlformats.org/wordprocessingml/2006/main">
  <w:font w:name="Cambria">
    <w:family w:val="roman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MoliyaHub · </w:t>
        </w: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mbria" w:hAnsi="Cambria"/>
      <w:b/>
      <w:color w:val="1A1A1A"/>
      <w:sz w:val="38"/>
      <w:szCs w:val="38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mbria" w:hAnsi="Cambria"/>
      <w:b/>
      <w:sz w:val="32"/>
      <w:szCs w:val="32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mbria" w:hAnsi="Cambria"/>
      <w:b/>
      <w:sz w:val="26"/>
      <w:szCs w:val="26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mbria" w:hAnsi="Cambria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mbria" w:hAnsi="Cambria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mbria" w:hAnsi="Cambria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sz w:val="46"/>
      <w:szCs w:val="46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{"kv":{"theme":"serif"},"v":1}</vt:lpwstr>
  </property>
</Properties>
</file>