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«Строительство и ремонтно-отделочные работы»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ООО «Bunyodkor Ta'mir Qurilish» реализует проект «Запуск ремонтно-строительного участка в Ташкенте»: Ремонтно-строительная компания, специализирующаяся на отделке «под ключ» жилых и коммерческих объектов, с двумя бригадами и услугами проектирования/смет. Полная стоимость проекта — 978 175 562 сум, из которых 208 000 000 сум — банковский кредит на 24 месяцев под 22% годовых с льготным периодом 3 месяца(ев), остальное — собственный капитал инициатора. При выходе на проектную мощность выручка составляет 340 000 000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ООО «Bunyodkor Ta'mir Qurilish»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ООО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Строительство и ремонтно-отделочные работы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регистрация, лицензирование и закупка инструмента/спецтехники — месяц 1; (2) набор бригад и первые 2-3 объекта на льготных условиях для портфолио — месяцы 1-3; (3) выход на стабильную загрузку 2-3 параллельных объекта — с 4-го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Строительство и ремонтно-отделочные работы</w:t>
      </w:r>
      <w:bookmarkEnd w:id="5"/>
    </w:p>
    <w:p>
      <w:pPr>
        <w:pStyle w:val="ListParagraph"/>
        <w:numPr>
          <w:ilvl w:val="0"/>
          <w:numId w:val="1"/>
        </w:numPr>
      </w:pPr>
      <w:r>
        <w:t>Строительство — один из ключевых драйверов роста экономики Узбекистана на фоне активных жилищных и инфраструктурных программ.</w:t>
      </w:r>
    </w:p>
    <w:p>
      <w:pPr>
        <w:pStyle w:val="ListParagraph"/>
        <w:numPr>
          <w:ilvl w:val="0"/>
          <w:numId w:val="1"/>
        </w:numPr>
      </w:pPr>
      <w:r>
        <w:t>Указом от 20 ноября 2025 года утверждена национальная программа развития жилищного строительства и ипотеки до 2040 года: ежегодный ввод жилья планируется удвоить до 421 тыс. объектов, ипотечный портфель — вырастить более чем в 10 раз, а долю современного жилья — довести до 50% (gazeta.uz).</w:t>
      </w:r>
    </w:p>
    <w:p>
      <w:pPr>
        <w:pStyle w:val="ListParagraph"/>
        <w:numPr>
          <w:ilvl w:val="0"/>
          <w:numId w:val="1"/>
        </w:numPr>
      </w:pPr>
      <w:r>
        <w:t>Параллельно продолжаются программы реновации городской среды и инфраструктурные проекты — поддерживают спрос на подрядные и субподрядные работы для среднего и малого бизнеса.</w:t>
      </w:r>
    </w:p>
    <w:p>
      <w:pPr>
        <w:pStyle w:val="ListParagraph"/>
        <w:numPr>
          <w:ilvl w:val="0"/>
          <w:numId w:val="1"/>
        </w:numPr>
      </w:pPr>
      <w:r>
        <w:t>Растёт спрос на энергоэффективные и сейсмостойкие решения; соответствие строительным нормам (KMK) важно для конкурентоспособности при госзаказах и в ипотечных проектах.</w:t>
      </w:r>
    </w:p>
    <w:p>
      <w:pPr>
        <w:pStyle w:val="ListParagraph"/>
        <w:numPr>
          <w:ilvl w:val="0"/>
          <w:numId w:val="1"/>
        </w:numPr>
      </w:pPr>
      <w:r>
        <w:t>Для сравнения: в Казахстане и России также действуют масштабные программы льготной ипотеки — конкуренция за импортное оборудование, отделочные материалы и подрядчиков с международным опытом в регионе растёт.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«UsSaz Qurilish»</w:t>
                      </w:r>
                    </w:p>
                  </w:tc>
                  <w:tc>
                    <w:tcPr/>
                    <w:p>
                      <w:r>
                        <w:t>комплексный ремонт квартир и коммерческих помещений «под ключ», Ташкент</w:t>
                      </w:r>
                    </w:p>
                  </w:tc>
                  <w:tc>
                    <w:tcPr/>
                    <w:p>
                      <w:r>
                        <w:t>устоявшееся портфолио, узнаваемость в сегменте</w:t>
                      </w:r>
                    </w:p>
                  </w:tc>
                  <w:tc>
                    <w:tcPr/>
                    <w:p>
                      <w:r>
                        <w:t>загрузка в основном столичная, слабее в области</w:t>
                      </w:r>
                    </w:p>
                  </w:tc>
                </w:tr>
                <w:tr>
                  <w:tc>
                    <w:tcPr/>
                    <w:p>
                      <w:r>
                        <w:t>ЧП «Mustahkam Ta'mir»</w:t>
                      </w:r>
                    </w:p>
                  </w:tc>
                  <w:tc>
                    <w:tcPr/>
                    <w:p>
                      <w:r>
                        <w:t>частная бригада, мелкие частные заказы на отделку</w:t>
                      </w:r>
                    </w:p>
                  </w:tc>
                  <w:tc>
                    <w:tcPr/>
                    <w:p>
                      <w:r>
                        <w:t>низкая цена, гибкость</w:t>
                      </w:r>
                    </w:p>
                  </w:tc>
                  <w:tc>
                    <w:tcPr/>
                    <w:p>
                      <w:r>
                        <w:t>нет мощностей под крупные объекты «под ключ»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«ArxiStroy Loyiha»</w:t>
                      </w:r>
                    </w:p>
                  </w:tc>
                  <w:tc>
                    <w:tcPr/>
                    <w:p>
                      <w:r>
                        <w:t>проектно-строительная компания с собственным архитектурным бюро</w:t>
                      </w:r>
                    </w:p>
                  </w:tc>
                  <w:tc>
                    <w:tcPr/>
                    <w:p>
                      <w:r>
                        <w:t>полный цикл «проект + стройка»</w:t>
                      </w:r>
                    </w:p>
                  </w:tc>
                  <w:tc>
                    <w:tcPr/>
                    <w:p>
                      <w:r>
                        <w:t>выше цена и сроки согласования</w:t>
                      </w:r>
                    </w:p>
                  </w:tc>
                </w:tr>
                <w:tr>
                  <w:tc>
                    <w:tcPr/>
                    <w:p>
                      <w:r>
                        <w:t>СП «NordBau Tashkent»</w:t>
                      </w:r>
                    </w:p>
                  </w:tc>
                  <w:tc>
                    <w:tcPr/>
                    <w:p>
                      <w:r>
                        <w:t>совместное предприятие с иностранным партнёром, премиальный сегмент</w:t>
                      </w:r>
                    </w:p>
                  </w:tc>
                  <w:tc>
                    <w:tcPr/>
                    <w:p>
                      <w:r>
                        <w:t>импортные технологии и материалы</w:t>
                      </w:r>
                    </w:p>
                  </w:tc>
                  <w:tc>
                    <w:tcPr/>
                    <w:p>
                      <w:r>
                        <w:t>высокая себестоимость, узкий премиальный сегмент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Цена</w:t>
            </w:r>
          </w:p>
        </w:tc>
        <w:tc>
          <w:tcPr/>
          <w:p>
            <w:r>
              <w:t>фиксация сметы на этапе договора, чтобы избежать споров при росте цен на материалы</w:t>
            </w:r>
          </w:p>
        </w:tc>
      </w:tr>
      <w:tr>
        <w:tc>
          <w:tcPr/>
          <w:p>
            <w:r>
              <w:t>Диверсификация услуг</w:t>
            </w:r>
          </w:p>
        </w:tc>
        <w:tc>
          <w:tcPr/>
          <w:p>
            <w:r>
              <w:t>подряд «под ключ» + мелкая отделка + проектирование + гарантийное обслуживание — 4 источника выручки</w:t>
            </w:r>
          </w:p>
        </w:tc>
      </w:tr>
      <w:tr>
        <w:tc>
          <w:tcPr/>
          <w:p>
            <w:r>
              <w:t>Портфолио и доверие</w:t>
            </w:r>
          </w:p>
        </w:tc>
        <w:tc>
          <w:tcPr/>
          <w:p>
            <w:r>
              <w:t>готовые объекты в соцсетях и на агрегаторах ремонта, первые объекты по льготной цене за отзывы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Частные заказчики (квартиры, коттеджи) и небольшие коммерческие заказчики (офисы, торговые точки) в Ташкенте и области; для них важны фиксированная смета, соблюдение сроков и портфолио уже сданных объектов.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по смете с фиксацией на этапе договора, чтобы избежать споров при росте цен на материалы; продвижение — портфолио отремонтированных объектов в соцсетях и на агрегаторах ремонта, сарафанное радио через застройщиков и риелторов, первые 2-3 объекта — по льготной цене за отзывы и портфолио.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Директор-прораб, сметчик, снабженец (административный блок) и 2 бригады отделочников (производственный персонал, 9 человек). Форма — ООО с упрощённым налоговым режимом на старте.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Бригады (разнорабочие / отделочники)</w:t>
            </w:r>
          </w:p>
        </w:tc>
        <w:tc>
          <w:tcPr/>
          <w:p>
            <w:r>
              <w:t>9</w:t>
            </w:r>
          </w:p>
        </w:tc>
        <w:tc>
          <w:tcPr/>
          <w:p>
            <w:r>
              <w:t>6 444 444</w:t>
            </w:r>
          </w:p>
        </w:tc>
        <w:tc>
          <w:tcPr/>
          <w:p>
            <w:r>
              <w:t>57 999 996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Директор-прораб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12 000 000</w:t>
            </w:r>
          </w:p>
        </w:tc>
        <w:tc>
          <w:tcPr/>
          <w:p>
            <w:r>
              <w:t>12 000 000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t>Сметчик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8 000 000</w:t>
            </w:r>
          </w:p>
        </w:tc>
        <w:tc>
          <w:tcPr/>
          <w:p>
            <w:r>
              <w:t>8 000 000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t>Снабженец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6 000 000</w:t>
            </w:r>
          </w:p>
        </w:tc>
        <w:tc>
          <w:tcPr/>
          <w:p>
            <w:r>
              <w:t>6 000 000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12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83 999 996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10 080 000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94 079 996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Инструменты и спецтехника</w:t>
            </w:r>
          </w:p>
        </w:tc>
        <w:tc>
          <w:tcPr/>
          <w:p>
            <w:r>
              <w:t>138 000 000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Офис / склад (ремонт и обустройство)</w:t>
            </w:r>
          </w:p>
        </w:tc>
        <w:tc>
          <w:tcPr/>
          <w:p>
            <w:r>
              <w:t>70 000 000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Регистрация и лицензирование строительной деятельности</w:t>
            </w:r>
          </w:p>
        </w:tc>
        <w:tc>
          <w:tcPr/>
          <w:p>
            <w:r>
              <w:t>18 000 000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Первоначальный запас материалов</w:t>
            </w:r>
          </w:p>
        </w:tc>
        <w:tc>
          <w:tcPr/>
          <w:p>
            <w:r>
              <w:t>150 000 000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Страхование ответственности</w:t>
            </w:r>
          </w:p>
        </w:tc>
        <w:tc>
          <w:tcPr/>
          <w:p>
            <w:r>
              <w:t>15 000 000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Спецодежда и СИЗ для бригад</w:t>
            </w:r>
          </w:p>
        </w:tc>
        <w:tc>
          <w:tcPr/>
          <w:p>
            <w:r>
              <w:t>9 000 000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Финансирование дебиторской задолженности и запасов на период выхода на плановую мощность</w:t>
            </w:r>
          </w:p>
        </w:tc>
        <w:tc>
          <w:tcPr/>
          <w:p>
            <w:r>
              <w:t>578 175 562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208 000 000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770 175 562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978 175 562</w:t>
            </w:r>
          </w:p>
        </w:tc>
        <w:tc>
          <w:tcPr/>
          <w:p/>
        </w:tc>
      </w:tr>
    </w:tbl>
    <w:p>
      <w:r>
        <w:rPr>
          <w:rStyle w:val="CkCaption"/>
          <w:i/>
        </w:rPr>
        <w:t>Строка «Финансирование дебиторской задолженности и запасов на период выхода на плановую мощность» — расчётная величина: расчётная величина — обеспечивает положительный остаток денежных средств в течение Года 1 при выходе на плановую загрузку (см. лист «Поток наличности»).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208 000 000</w:t>
            </w:r>
          </w:p>
        </w:tc>
        <w:tc>
          <w:tcPr/>
          <w:p>
            <w:r>
              <w:t>21,1%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777 375 562</w:t>
            </w:r>
          </w:p>
        </w:tc>
        <w:tc>
          <w:tcPr/>
          <w:p>
            <w:r>
              <w:t>78,9%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985 375 562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208 000 000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24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3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7 200 000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Подрядные договоры на объекты</w:t>
            </w:r>
          </w:p>
        </w:tc>
        <w:tc>
          <w:tcPr/>
          <w:p>
            <w:r>
              <w:t>50%</w:t>
            </w:r>
          </w:p>
        </w:tc>
        <w:tc>
          <w:tcPr/>
          <w:p>
            <w:r>
              <w:t>170 000 000</w:t>
            </w:r>
          </w:p>
        </w:tc>
      </w:tr>
      <w:tr>
        <w:tc>
          <w:tcPr/>
          <w:p>
            <w:r>
              <w:t>Ремонтно-отделочные работы</w:t>
            </w:r>
          </w:p>
        </w:tc>
        <w:tc>
          <w:tcPr/>
          <w:p>
            <w:r>
              <w:t>30%</w:t>
            </w:r>
          </w:p>
        </w:tc>
        <w:tc>
          <w:tcPr/>
          <w:p>
            <w:r>
              <w:t>102 000 000</w:t>
            </w:r>
          </w:p>
        </w:tc>
      </w:tr>
      <w:tr>
        <w:tc>
          <w:tcPr/>
          <w:p>
            <w:r>
              <w:t>Проектирование и сметы</w:t>
            </w:r>
          </w:p>
        </w:tc>
        <w:tc>
          <w:tcPr/>
          <w:p>
            <w:r>
              <w:t>10%</w:t>
            </w:r>
          </w:p>
        </w:tc>
        <w:tc>
          <w:tcPr/>
          <w:p>
            <w:r>
              <w:t>34 000 000</w:t>
            </w:r>
          </w:p>
        </w:tc>
      </w:tr>
      <w:tr>
        <w:tc>
          <w:tcPr/>
          <w:p>
            <w:r>
              <w:t>Гарантийное и постгарантийное обслуживание</w:t>
            </w:r>
          </w:p>
        </w:tc>
        <w:tc>
          <w:tcPr/>
          <w:p>
            <w:r>
              <w:t>10%</w:t>
            </w:r>
          </w:p>
        </w:tc>
        <w:tc>
          <w:tcPr/>
          <w:p>
            <w:r>
              <w:t>34 000 000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340 000 000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Сырьё / материалы</w:t>
            </w:r>
          </w:p>
        </w:tc>
        <w:tc>
          <w:tcPr/>
          <w:p>
            <w:r>
              <w:t>187 000 000</w:t>
            </w:r>
          </w:p>
        </w:tc>
        <w:tc>
          <w:tcPr/>
          <w:p>
            <w:r>
              <w:t>0%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14 000 000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64 959 996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29 120 000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2 133 333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26 700 000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323 913 329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170 000 000</w:t>
            </w:r>
          </w:p>
        </w:tc>
        <w:tc>
          <w:tcPr/>
          <w:p>
            <w:r>
              <w:t>265 200 000</w:t>
            </w:r>
          </w:p>
        </w:tc>
        <w:tc>
          <w:tcPr/>
          <w:p>
            <w:r>
              <w:t>340 000 000</w:t>
            </w:r>
          </w:p>
        </w:tc>
        <w:tc>
          <w:tcPr/>
          <w:p>
            <w:r>
              <w:t>365 226 257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−59 326 662</w:t>
            </w:r>
          </w:p>
        </w:tc>
        <w:tc>
          <w:tcPr/>
          <w:p>
            <w:r>
              <w:t>−19 230 662</w:t>
            </w:r>
          </w:p>
        </w:tc>
        <w:tc>
          <w:tcPr/>
          <w:p>
            <w:r>
              <w:t>10 741 036</w:t>
            </w:r>
          </w:p>
        </w:tc>
        <w:tc>
          <w:tcPr/>
          <w:p>
            <w:r>
              <w:t>20 698 131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397 848 900</w:t>
            </w:r>
          </w:p>
        </w:tc>
        <w:tc>
          <w:tcPr/>
          <w:p>
            <w:r>
              <w:t>167 331 575</w:t>
            </w:r>
          </w:p>
        </w:tc>
        <w:tc>
          <w:tcPr/>
          <w:p>
            <w:r>
              <w:t>14 721 683</w:t>
            </w:r>
          </w:p>
        </w:tc>
        <w:tc>
          <w:tcPr/>
          <w:p>
            <w:r>
              <w:t>19 985 969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42,1%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127 113 329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301 805 390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88,8%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(978 175 562 сум) по чистой прибыли на уровне проектной мощности (≈20 698 131 сум/мес к 12-му месяцу) — около 47 месяцев.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Рост цен на стройматериалы в ходе исполнения долгосрочных договоров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Фиксация цен/предоплата у ключевых поставщиков, пункт о пересмотре сметы при росте цен свыше порога</w:t>
            </w:r>
          </w:p>
        </w:tc>
      </w:tr>
      <w:tr>
        <w:tc>
          <w:tcPr/>
          <w:p>
            <w:r>
              <w:t>Задержки оплат заказчиками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0,60</w:t>
            </w:r>
          </w:p>
        </w:tc>
        <w:tc>
          <w:tcPr/>
          <w:p>
            <w:r>
              <w:t>Поэтапная оплата по договору, авансирование, штрафные санкции за просрочку</w:t>
            </w:r>
          </w:p>
        </w:tc>
      </w:tr>
      <w:tr>
        <w:tc>
          <w:tcPr/>
          <w:p>
            <w:r>
              <w:t>Сезонность спроса (замедление в холодные месяцы)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Диверсификация видов работ (внутренняя отделка зимой, наружные и кровельные — летом)</w:t>
            </w:r>
          </w:p>
        </w:tc>
      </w:tr>
      <w:tr>
        <w:tc>
          <w:tcPr/>
          <w:p>
            <w:r>
              <w:t>Дефицит квалифицированных рабочих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Долгосрочные отношения с проверенными бригадами, обучение подмастерьев</w:t>
            </w:r>
          </w:p>
        </w:tc>
      </w:tr>
      <w:tr>
        <w:tc>
          <w:tcPr/>
          <w:p>
            <w:r>
              <w:t>Срыв сроков субподрядчиками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Резервные подрядчики на критичные виды работ, штрафные условия в договорах субподряда</w:t>
            </w:r>
          </w:p>
        </w:tc>
      </w:tr>
      <w:tr>
        <w:tc>
          <w:tcPr/>
          <w:p>
            <w:r>
              <w:t>Изменение строительных норм (KMK)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Регулярный мониторинг нормативной базы, повышение квалификации ИТР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2,90 из 5</w:t>
            </w:r>
          </w:p>
        </w:tc>
        <w:tc>
          <w:tcPr/>
          <w:p/>
        </w:tc>
      </w:tr>
    </w:tbl>
    <w:p>
      <w:r>
        <w:t>Итоговая взвешенная оценка (2,90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создаёт 13 рабочих мест (2 бригады + управленческий блок) и наращивает предложение качественных отделочных услуг «под ключ» на фоне государственной программы развития жилищного строительства. Диверсификация выручки по 4 услугам снижает зависимость от одного вида заказов.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