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Core" Type="http://schemas.openxmlformats.org/package/2006/relationships/metadata/core-properties" Target="docProps/core.xml"/><Relationship Id="rIdCustom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body>
    <w:p>
      <w:pPr>
        <w:pStyle w:val="Title"/>
        <ck:id v="section"/>
      </w:pPr>
      <w:bookmarkStart w:id="0" w:name="section"/>
      <w:r>
        <w:t>ТЕХНИКО-ЭКОНОМИЧЕСКОЕ ОБОСНОВАНИЕ ПРОЕКТА</w:t>
      </w:r>
      <w:bookmarkEnd w:id="0"/>
    </w:p>
    <w:p>
      <w:r>
        <w:rPr>
          <w:rStyle w:val="CkMuted"/>
        </w:rPr>
        <w:t>Расширенный образец (ТЭО) для отрасли «Сельское хозяйство (садоводство)» — по структуре, близкой к банковской</w:t>
      </w:r>
    </w:p>
    <w:p>
      <w:r>
        <w:t>Наименование проекта: [впишите]</w:t>
      </w:r>
      <w:r>
        <w:br/>
      </w:r>
      <w:r>
        <w:t>Инициатор / заёмщик: [впишите]</w:t>
      </w:r>
      <w:r>
        <w:br/>
      </w:r>
      <w:r>
        <w:t>Регион реализации: [впишите]</w:t>
      </w:r>
      <w:r>
        <w:br/>
      </w:r>
      <w:r>
        <w:t>Полная стоимость проекта, сум: [впишите]</w:t>
      </w:r>
      <w:r>
        <w:br/>
      </w:r>
      <w:r>
        <w:t>Дата составления: [впишите]</w:t>
      </w:r>
    </w:p>
    <w:p>
      <w:r>
        <w:rPr>
          <w:rStyle w:val="CkCaption"/>
          <w:i/>
        </w:rPr>
        <w:t>Это расширенный образец (шаблон) MoliyaHub, построенный по структуре типового технико-экономического обоснования (ТЭО), которое банки Узбекистана обычно запрашивают при рассмотрении кредитной заявки на инвестиционный проект — с меморандумом о конфиденциальности, разделом о заёмщике, структурой финансирования, таблицей персонала и взвешенной оценкой рисков. Это НЕ более простой типовой бизнес-план (тот доступен на MoliyaHub отдельным файлом для той же отрасли) — это более полный и подробный формат для тех, кто готовит заявку сразу под требования банка. Все суммы и показатели ниже — иллюстративный пример для вымышленной компании, основанный на рыночных ориентирах 2025-2026 года и экспертных оценках порядка величины, а НЕ факт о реальной компании и не финансовая отчётность. Реквизиты заёмщика (ИНН, адрес, учредители, паспортные данные) должны быть заполнены вашими настоящими данными — образец сознательно не содержит вымышленных номеров документов, чтобы их нельзя было принять за реальные. Полная финансовая модель с рабочими формулами (16 связанных листов: смета, финансирование, амортизация, себестоимость по месяцам, график кредита, P&amp;L, рабочий капитал, поток наличности, NPV/IRR, точка безубыточности, прогнозный баланс) — в отдельном Excel-файле с тем же названием, который дополняет этот документ.</w:t>
      </w:r>
    </w:p>
    <w:p>
      <w:pPr>
        <w:pStyle w:val="Heading2"/>
        <ck:id v="confidentiality"/>
      </w:pPr>
      <w:bookmarkStart w:id="1" w:name="confidentiality"/>
      <w:r>
        <w:t>Меморандум о конфиденциальности</w:t>
      </w:r>
      <w:bookmarkEnd w:id="1"/>
    </w:p>
    <w:p>
      <w:r>
        <w:t>Настоящий документ и приложенная к нему финансовая модель содержат информацию о планируемой хозяйственной деятельности заёмщика и предназначены исключительно для рассмотрения кредитующим банком (инвестором) в целях принятия решения об участии в проекте. Документ не подлежит копированию или передаче третьим лицам без письменного согласия заёмщика, за исключением случаев, предусмотренных законодательством Республики Узбекистан. Все финансовые показатели являются прогнозными и не гарантируют фактического результата.</w:t>
      </w:r>
    </w:p>
    <w:p>
      <w:r>
        <w:t>[Впишите] При подготовке реальной заявки замените этот раздел меморандумом о конфиденциальности вашей компании либо согласуйте формулировку с юристом и требованиями конкретного банка.</w:t>
      </w:r>
    </w:p>
    <w:p>
      <w:pPr>
        <w:pStyle w:val="Heading2"/>
        <ck:id v="resume"/>
      </w:pPr>
      <w:bookmarkStart w:id="2" w:name="resume"/>
      <w:r>
        <w:t>Резюме проекта</w:t>
      </w:r>
      <w:bookmarkEnd w:id="2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ФХ «Zarafshon Bog'lari» реализует проект «Закладка и развитие интенсивного сада на 5 га»: Интенсивный яблоневый сад на 5 га с капельным орошением, холодильным мини-хранилищем и частичной переработкой урожая. Год 1 расчёта представляет средний месяц 3-го года проекта (первый частичный товарный урожай) — см. примечание о многолетней экономике садоводства. Полная стоимость проекта — 620 000 000 сум, из которых 410 000 000 сум — банковский кредит на 60 месяцев под 22% годовых с льготным периодом 12 месяца(ев), остальное — собственный капитал инициатора. При выходе на проектную мощность выручка составляет 20 500 000 сум/мес; см. раздел «Финансовый план» ниже по срокам окупаемости.</w:t>
                </w:r>
              </w:p>
            </w:tc>
          </w:tr>
        </w:tbl>
      </w:sdtContent>
    </w:sdt>
    <w:p>
      <w:r>
        <w:t>[Впишите] В 5-8 предложениях: суть проекта, какую проблему решает, для кого, требуемая сумма инвестиций и на что она пойдёт, ожидаемый результат (выручка/прибыль/срок окупаемости).</w:t>
      </w:r>
    </w:p>
    <w:p>
      <w:pPr>
        <w:pStyle w:val="Heading2"/>
        <ck:id v="borrower"/>
      </w:pPr>
      <w:bookmarkStart w:id="3" w:name="borrower"/>
      <w:r>
        <w:t>Информация о заёмщике</w:t>
      </w:r>
      <w:bookmarkEnd w:id="3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Реквизит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Полное наименование</w:t>
            </w:r>
          </w:p>
        </w:tc>
        <w:tc>
          <w:tcPr/>
          <w:p>
            <w:r>
              <w:t>ФХ «Zarafshon Bog'lari» (пример)</w:t>
            </w:r>
          </w:p>
        </w:tc>
      </w:tr>
      <w:tr>
        <w:tc>
          <w:tcPr/>
          <w:p>
            <w:r>
              <w:t>Организационно-правовая форма</w:t>
            </w:r>
          </w:p>
        </w:tc>
        <w:tc>
          <w:tcPr/>
          <w:p>
            <w:r>
              <w:t>Фермерское хозяйство</w:t>
            </w:r>
          </w:p>
        </w:tc>
      </w:tr>
      <w:tr>
        <w:tc>
          <w:tcPr/>
          <w:p>
            <w:r>
              <w:t>Регион / адрес</w:t>
            </w:r>
          </w:p>
        </w:tc>
        <w:tc>
          <w:tcPr/>
          <w:p>
            <w:r>
              <w:t>[Впишите] — юридический и фактический адрес</w:t>
            </w:r>
          </w:p>
        </w:tc>
      </w:tr>
      <w:tr>
        <w:tc>
          <w:tcPr/>
          <w:p>
            <w:r>
              <w:t>ИНН / № свидетельства о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Учредители и доли</w:t>
            </w:r>
          </w:p>
        </w:tc>
        <w:tc>
          <w:tcPr/>
          <w:p>
            <w:r>
              <w:t>[Впишите] — Ф.И.О. / наименование, доли участия</w:t>
            </w:r>
          </w:p>
        </w:tc>
      </w:tr>
      <w:tr>
        <w:tc>
          <w:tcPr/>
          <w:p>
            <w:r>
              <w:t>Основной вид деятельности</w:t>
            </w:r>
          </w:p>
        </w:tc>
        <w:tc>
          <w:tcPr/>
          <w:p>
            <w:r>
              <w:t>Сельское хозяйство (садоводство)</w:t>
            </w:r>
          </w:p>
        </w:tc>
      </w:tr>
      <w:tr>
        <w:tc>
          <w:tcPr/>
          <w:p>
            <w:r>
              <w:t>Дата государственной регистрации</w:t>
            </w:r>
          </w:p>
        </w:tc>
        <w:tc>
          <w:tcPr/>
          <w:p>
            <w:r>
              <w:t>[Впишите]</w:t>
            </w:r>
          </w:p>
        </w:tc>
      </w:tr>
      <w:tr>
        <w:tc>
          <w:tcPr/>
          <w:p>
            <w:r>
              <w:t>Руководитель</w:t>
            </w:r>
          </w:p>
        </w:tc>
        <w:tc>
          <w:tcPr/>
          <w:p>
            <w:r>
              <w:t>[Впишите] — Ф.И.О., должность</w:t>
            </w:r>
          </w:p>
        </w:tc>
      </w:tr>
      <w:tr>
        <w:tc>
          <w:tcPr/>
          <w:p>
            <w:r>
              <w:t>Банковские реквизиты</w:t>
            </w:r>
          </w:p>
        </w:tc>
        <w:tc>
          <w:tcPr/>
          <w:p>
            <w:r>
              <w:t>[Впишите] — обслуживающий банк, расчётный счёт</w:t>
            </w:r>
          </w:p>
        </w:tc>
      </w:tr>
    </w:tbl>
    <w:p>
      <w:r>
        <w:t>[Впишите] Реквизиты выше — не заполняйте вымышленными номерами: используйте настоящие данные вашей организации при подаче в банк.</w:t>
      </w:r>
    </w:p>
    <w:p>
      <w:pPr>
        <w:pStyle w:val="Heading2"/>
        <ck:id v="project-description"/>
      </w:pPr>
      <w:bookmarkStart w:id="4" w:name="project_description"/>
      <w:r>
        <w:t>Описание проекта</w:t>
      </w:r>
      <w:bookmarkEnd w:id="4"/>
    </w:p>
    <w:p>
      <w:r>
        <w:t>[Впишите] Организационно-правовая форма, текущий статус проекта (идея / действующий бизнес / расширение), уникальное торговое предложение, этапы реализации.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уже прошёл закладку сада и монтаж капельного орошения (годы 1-2, без товарного урожая — вне периметра данного расчёта); представленный Год 1 расчёта — это средний месяц 3-го года проекта, когда сад даёт первый частичный товарный урожай; в последующие годы (4-6) урожайность продолжает расти к пиковой.</w:t>
                </w:r>
              </w:p>
            </w:tc>
          </w:tr>
        </w:tbl>
      </w:sdtContent>
    </w:sdt>
    <w:p>
      <w:pPr>
        <w:pStyle w:val="Heading2"/>
        <ck:id v="market"/>
      </w:pPr>
      <w:bookmarkStart w:id="5" w:name="market"/>
      <w:r>
        <w:t>Анализ рынка: Сельское хозяйство (садоводство)</w:t>
      </w:r>
      <w:bookmarkEnd w:id="5"/>
    </w:p>
    <w:p>
      <w:pPr>
        <w:pStyle w:val="ListParagraph"/>
        <w:numPr>
          <w:ilvl w:val="0"/>
          <w:numId w:val="1"/>
        </w:numPr>
      </w:pPr>
      <w:r>
        <w:t>Сельское хозяйство исторически остаётся одним из крупнейших секторов экономики Узбекистана по числу занятых, особенно в сельской местности — точную актуальную долю в ВВП на момент запуска уточняйте по данным Госкомстата (stat.uz).</w:t>
      </w:r>
    </w:p>
    <w:p>
      <w:pPr>
        <w:pStyle w:val="ListParagraph"/>
        <w:numPr>
          <w:ilvl w:val="0"/>
          <w:numId w:val="1"/>
        </w:numPr>
      </w:pPr>
      <w:r>
        <w:t>Узбекистан входит в число ведущих мировых производителей и экспортёров хлопка-волокна, а также является крупным производителем плодоовощной продукции, винограда и бахчевых в Центральной Азии.</w:t>
      </w:r>
    </w:p>
    <w:p>
      <w:pPr>
        <w:pStyle w:val="ListParagraph"/>
        <w:numPr>
          <w:ilvl w:val="0"/>
          <w:numId w:val="1"/>
        </w:numPr>
      </w:pPr>
      <w:r>
        <w:t>Действуют программы льготного кредитования фермеров (Агробанк, лизинг сельхозтехники через Uzagrolizing) и субсидии на удобрения/технику — условия и ставки меняются по годам, уточняйте актуальные на момент запуска в местном хокимияте или банке.</w:t>
      </w:r>
    </w:p>
    <w:p>
      <w:pPr>
        <w:pStyle w:val="ListParagraph"/>
        <w:numPr>
          <w:ilvl w:val="0"/>
          <w:numId w:val="1"/>
        </w:numPr>
      </w:pPr>
      <w:r>
        <w:t>Растёт спрос на плодоовощную продукцию и продукты переработки как на внутреннем рынке, так и на экспорт (Россия, Казахстан, страны Персидского залива) — но экспорт свежей продукции требует холодильной логистики, без которой значительная часть урожая теряется при хранении и транспортировке.</w:t>
      </w:r>
    </w:p>
    <w:p>
      <w:pPr>
        <w:pStyle w:val="ListParagraph"/>
        <w:numPr>
          <w:ilvl w:val="0"/>
          <w:numId w:val="1"/>
        </w:numPr>
      </w:pPr>
      <w:r>
        <w:t>Государство продолжает реформу земельных отношений и развитие кластерной модели в отдельных культурах — при выборе культуры стоит уточнить, действует ли в регионе кластер и какие обязательства/льготы он даёт.</w:t>
      </w:r>
    </w:p>
    <w:p>
      <w:pPr>
        <w:pStyle w:val="ListParagraph"/>
        <w:numPr>
          <w:ilvl w:val="0"/>
          <w:numId w:val="1"/>
        </w:numPr>
      </w:pPr>
      <w:r>
        <w:t>[Впишите] Уточните актуальные объёмы рынка, цены и конкурентов в вашем конкретном сегменте и регионе по данным отраслевой статистики и профильных ассоциаций.</w:t>
      </w:r>
    </w:p>
    <w:p>
      <w:pPr>
        <w:pStyle w:val="Heading3"/>
        <ck:id v="section-1"/>
      </w:pPr>
      <w:bookmarkStart w:id="6" w:name="section_1"/>
      <w:r>
        <w:t>Конкуренты</w:t>
      </w:r>
      <w:bookmarkEnd w:id="6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 — вымышленные компании для иллюстрации формата таблицы</w:t>
                </w:r>
              </w:p>
              <w:tbl>
                <w:tblPr>
                  <w:tblStyle w:val="CkTable"/>
                  <w:tblW w:w="0" w:type="auto"/>
                  <w:tblLayout w:type="autofit"/>
                  <w:tblLook w:firstRow="1" w:lastRow="0" w:firstColumn="0" w:lastColumn="0" w:noHBand="0" w:noVBand="1"/>
                </w:tblPr>
                <w:tblGrid>
                  <w:gridCol/>
                  <w:gridCol/>
                  <w:gridCol/>
                  <w:gridCol/>
                </w:tblGrid>
                <w:tr>
                  <w:trPr>
                    <w:tblHeader/>
                  </w:trPr>
                  <w:tc>
                    <w:tcPr/>
                    <w:p>
                      <w:r>
                        <w:rPr>
                          <w:b/>
                        </w:rPr>
                        <w:t>Конкурент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Профиль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Сильные стороны</w:t>
                      </w:r>
                    </w:p>
                  </w:tc>
                  <w:tc>
                    <w:tcPr/>
                    <w:p>
                      <w:r>
                        <w:rPr>
                          <w:b/>
                        </w:rPr>
                        <w:t>Слабые стороны</w:t>
                      </w:r>
                    </w:p>
                  </w:tc>
                </w:tr>
                <w:tr>
                  <w:tc>
                    <w:tcPr/>
                    <w:p>
                      <w:r>
                        <w:t>ФХ «Qorasuv Mevalari»</w:t>
                      </w:r>
                    </w:p>
                  </w:tc>
                  <w:tc>
                    <w:tcPr/>
                    <w:p>
                      <w:r>
                        <w:t>крупный сад в той же области, вертикальная интеграция с собственной переработкой</w:t>
                      </w:r>
                    </w:p>
                  </w:tc>
                  <w:tc>
                    <w:tcPr/>
                    <w:p>
                      <w:r>
                        <w:t>масштаб, собственная переработка</w:t>
                      </w:r>
                    </w:p>
                  </w:tc>
                  <w:tc>
                    <w:tcPr/>
                    <w:p>
                      <w:r>
                        <w:t>меньше гибкости под нишевые сорта</w:t>
                      </w:r>
                    </w:p>
                  </w:tc>
                </w:tr>
                <w:tr>
                  <w:tc>
                    <w:tcPr/>
                    <w:p>
                      <w:r>
                        <w:t>СП ООО «AgroKumush Eksport»</w:t>
                      </w:r>
                    </w:p>
                  </w:tc>
                  <w:tc>
                    <w:tcPr/>
                    <w:p>
                      <w:r>
                        <w:t>экспортно-ориентированное СП с иностранным партнёром</w:t>
                      </w:r>
                    </w:p>
                  </w:tc>
                  <w:tc>
                    <w:tcPr/>
                    <w:p>
                      <w:r>
                        <w:t>доступ к экспортным контрактам и технологиям</w:t>
                      </w:r>
                    </w:p>
                  </w:tc>
                  <w:tc>
                    <w:tcPr/>
                    <w:p>
                      <w:r>
                        <w:t>выше издержки, валютная зависимость</w:t>
                      </w:r>
                    </w:p>
                  </w:tc>
                </w:tr>
                <w:tr>
                  <w:tc>
                    <w:tcPr/>
                    <w:p>
                      <w:r>
                        <w:t>ЧП «Bog'bon Diyori»</w:t>
                      </w:r>
                    </w:p>
                  </w:tc>
                  <w:tc>
                    <w:tcPr/>
                    <w:p>
                      <w:r>
                        <w:t>небольшое частное хозяйство с органической сертификацией</w:t>
                      </w:r>
                    </w:p>
                  </w:tc>
                  <w:tc>
                    <w:tcPr/>
                    <w:p>
                      <w:r>
                        <w:t>нишевый «органик»-бренд</w:t>
                      </w:r>
                    </w:p>
                  </w:tc>
                  <w:tc>
                    <w:tcPr/>
                    <w:p>
                      <w:r>
                        <w:t>ограниченные объёмы поставок</w:t>
                      </w:r>
                    </w:p>
                  </w:tc>
                </w:tr>
                <w:tr>
                  <w:tc>
                    <w:tcPr/>
                    <w:p>
                      <w:r>
                        <w:t>Кооператив «Hosil Birligi»</w:t>
                      </w:r>
                    </w:p>
                  </w:tc>
                  <w:tc>
                    <w:tcPr/>
                    <w:p>
                      <w:r>
                        <w:t>объединение мелких хозяйств для консолидации партий под экспорт</w:t>
                      </w:r>
                    </w:p>
                  </w:tc>
                  <w:tc>
                    <w:tcPr/>
                    <w:p>
                      <w:r>
                        <w:t>совместный сбыт и логистика</w:t>
                      </w:r>
                    </w:p>
                  </w:tc>
                  <w:tc>
                    <w:tcPr/>
                    <w:p>
                      <w:r>
                        <w:t>неоднородное качество продукции внутри партии</w:t>
                      </w:r>
                    </w:p>
                  </w:tc>
                </w:tr>
              </w:tbl>
              <w:p/>
            </w:tc>
          </w:tr>
        </w:tbl>
      </w:sdtContent>
    </w:sdt>
    <w:p>
      <w:r>
        <w:t>[Впишите] Список из 3-5 РЕАЛЬНЫХ прямых конкурентов вашего проекта (компании выше — вымышленный пример для иллюстрации формата), их сильные и слабые стороны, чем вы отличаетесь.</w:t>
      </w:r>
    </w:p>
    <w:p>
      <w:pPr>
        <w:pStyle w:val="Heading3"/>
        <ck:id v="section-2"/>
      </w:pPr>
      <w:bookmarkStart w:id="7" w:name="section_2"/>
      <w:r>
        <w:t>Конкурентный ответ</w:t>
      </w:r>
      <w:bookmarkEnd w:id="7"/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Фактор конкуренции</w:t>
            </w:r>
          </w:p>
        </w:tc>
        <w:tc>
          <w:tcPr/>
          <w:p>
            <w:r>
              <w:rPr>
                <w:b/>
              </w:rPr>
              <w:t>Подход компании</w:t>
            </w:r>
          </w:p>
        </w:tc>
      </w:tr>
      <w:tr>
        <w:tc>
          <w:tcPr/>
          <w:p>
            <w:r>
              <w:t>Логистика/хранение</w:t>
            </w:r>
          </w:p>
        </w:tc>
        <w:tc>
          <w:tcPr/>
          <w:p>
            <w:r>
              <w:t>собственная холодильная камера снижает послеуборочные потери по сравнению с хозяйствами без охлаждения</w:t>
            </w:r>
          </w:p>
        </w:tc>
      </w:tr>
      <w:tr>
        <w:tc>
          <w:tcPr/>
          <w:p>
            <w:r>
              <w:t>Каналы сбыта</w:t>
            </w:r>
          </w:p>
        </w:tc>
        <w:tc>
          <w:tcPr/>
          <w:p>
            <w:r>
              <w:t>диверсификация: опт + рынок/кооператив + переработка + экспорт — не зависит от одного канала</w:t>
            </w:r>
          </w:p>
        </w:tc>
      </w:tr>
      <w:tr>
        <w:tc>
          <w:tcPr/>
          <w:p>
            <w:r>
              <w:t>Качество и стабильность урожая</w:t>
            </w:r>
          </w:p>
        </w:tc>
        <w:tc>
          <w:tcPr/>
          <w:p>
            <w:r>
              <w:t>капельное орошение снижает зависимость от осадков и стабилизирует урожайность</w:t>
            </w:r>
          </w:p>
        </w:tc>
      </w:tr>
    </w:tbl>
    <w:p>
      <w:pPr>
        <w:pStyle w:val="Heading3"/>
        <ck:id v="section-3"/>
      </w:pPr>
      <w:bookmarkStart w:id="8" w:name="section_3"/>
      <w:r>
        <w:t>Целевая аудитория</w:t>
      </w:r>
      <w:bookmarkEnd w:id="8"/>
    </w:p>
    <w:p>
      <w:r>
        <w:t>[Впишите] Портрет основного клиента. Пример: Оптовые закупщики плодоовощной продукции, сети супермаркетов, экспортные трейдеры и сельскохозяйственные кооперативы; для них важны стабильность поставок, калибровка/сортировка плодов и возможность хранения вне пикового сезона.</w:t>
      </w:r>
    </w:p>
    <w:p>
      <w:pPr>
        <w:pStyle w:val="Heading2"/>
        <ck:id v="marketing"/>
      </w:pPr>
      <w:bookmarkStart w:id="9" w:name="marketing"/>
      <w:r>
        <w:t>Маркетинговый план</w:t>
      </w:r>
      <w:bookmarkEnd w:id="9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Продажа урожая по прямым договорам с оптовыми базами и 1-2 сетями супермаркетов; часть продукции — через фермерский кооператив для консолидации партий под экспорт; цена — на уровне региональных закупочных с наценкой за сортировку и калибровку плодов.</w:t>
                </w:r>
              </w:p>
            </w:tc>
          </w:tr>
        </w:tbl>
      </w:sdtContent>
    </w:sdt>
    <w:p>
      <w:r>
        <w:t>[Впишите] Ценообразование, каналы продвижения и продаж, план привлечения первых клиентов.</w:t>
      </w:r>
    </w:p>
    <w:p>
      <w:pPr>
        <w:pStyle w:val="Heading2"/>
        <ck:id v="org"/>
      </w:pPr>
      <w:bookmarkStart w:id="10" w:name="org"/>
      <w:r>
        <w:t>Организационный план и персонал</w:t>
      </w:r>
      <w:bookmarkEnd w:id="10"/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Глава фермерского хозяйства (совладелец, доход как прибыль бизнеса), постоянный бригадир, сезонные работники на обрезку и сбор урожая (переменная численность по сезону). Форма — фермерское хозяйство.</w:t>
                </w:r>
              </w:p>
            </w:tc>
          </w:tr>
        </w:tbl>
      </w:sdtContent>
    </w:sdt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Должность</w:t>
            </w:r>
          </w:p>
        </w:tc>
        <w:tc>
          <w:tcPr/>
          <w:p>
            <w:r>
              <w:rPr>
                <w:b/>
              </w:rPr>
              <w:t>Кол-во, чел.</w:t>
            </w:r>
          </w:p>
        </w:tc>
        <w:tc>
          <w:tcPr/>
          <w:p>
            <w:r>
              <w:rPr>
                <w:b/>
              </w:rPr>
              <w:t>Оклад, сум/мес</w:t>
            </w:r>
          </w:p>
        </w:tc>
        <w:tc>
          <w:tcPr/>
          <w:p>
            <w:r>
              <w:rPr>
                <w:b/>
              </w:rPr>
              <w:t>ФОТ, сум/мес</w:t>
            </w:r>
          </w:p>
        </w:tc>
        <w:tc>
          <w:tcPr/>
          <w:p>
            <w:r>
              <w:rPr>
                <w:b/>
              </w:rPr>
              <w:t>Категория</w:t>
            </w:r>
          </w:p>
        </w:tc>
      </w:tr>
      <w:tr>
        <w:tc>
          <w:tcPr/>
          <w:p>
            <w:r>
              <w:t>Бригадир (постоянный)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t>Сезонные работники (обрезка, сбор урожая)</w:t>
            </w:r>
          </w:p>
        </w:tc>
        <w:tc>
          <w:tcPr/>
          <w:p>
            <w:r>
              <w:t>1</w:t>
            </w:r>
          </w:p>
        </w:tc>
        <w:tc>
          <w:tcPr/>
          <w:p>
            <w:r>
              <w:t>2 500 000</w:t>
            </w:r>
          </w:p>
        </w:tc>
        <w:tc>
          <w:tcPr/>
          <w:p>
            <w:r>
              <w:t>2 500 000</w:t>
            </w:r>
          </w:p>
        </w:tc>
        <w:tc>
          <w:tcPr/>
          <w:p>
            <w:r>
              <w:t>Производственный</w:t>
            </w:r>
          </w:p>
        </w:tc>
      </w:tr>
      <w:tr>
        <w:tc>
          <w:tcPr/>
          <w:p>
            <w:r>
              <w:rPr>
                <w:b/>
              </w:rPr>
              <w:t>Итого персонал</w:t>
            </w:r>
          </w:p>
        </w:tc>
        <w:tc>
          <w:tcPr/>
          <w:p>
            <w:r>
              <w:rPr>
                <w:b/>
              </w:rPr>
              <w:t>2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5 500 000</w:t>
            </w:r>
          </w:p>
        </w:tc>
        <w:tc>
          <w:tcPr/>
          <w:p/>
        </w:tc>
      </w:tr>
      <w:tr>
        <w:tc>
          <w:tcPr/>
          <w:p>
            <w:r>
              <w:t>ЕСП (единый социальный платёж, 12% от ФОТ)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t>660 000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ФОТ с ЕСП, сум/мес</w:t>
            </w:r>
          </w:p>
        </w:tc>
        <w:tc>
          <w:tcPr/>
          <w:p/>
        </w:tc>
        <w:tc>
          <w:tcPr/>
          <w:p/>
        </w:tc>
        <w:tc>
          <w:tcPr/>
          <w:p>
            <w:r>
              <w:rPr>
                <w:b/>
              </w:rPr>
              <w:t>6 160 000</w:t>
            </w:r>
          </w:p>
        </w:tc>
        <w:tc>
          <w:tcPr/>
          <w:p/>
        </w:tc>
      </w:tr>
    </w:tbl>
    <w:p>
      <w:r>
        <w:t>[Впишите] Штатное расписание, оклады и организационно-правовая форма вашей компании.</w:t>
      </w:r>
    </w:p>
    <w:p>
      <w:pPr>
        <w:pStyle w:val="Heading2"/>
        <ck:id v="financing"/>
      </w:pPr>
      <w:bookmarkStart w:id="11" w:name="financing"/>
      <w:r>
        <w:t>Смета проекта и структура финансирования</w:t>
      </w:r>
      <w:bookmarkEnd w:id="11"/>
    </w:p>
    <w:p>
      <w:r>
        <w:rPr>
          <w:b/>
        </w:rPr>
        <w:t>Смета проекта (стартовые инвестиции)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Тип актива</w:t>
            </w:r>
          </w:p>
        </w:tc>
      </w:tr>
      <w:tr>
        <w:tc>
          <w:tcPr/>
          <w:p>
            <w:r>
              <w:t>Сельхозтехника и инвентарь</w:t>
            </w:r>
          </w:p>
        </w:tc>
        <w:tc>
          <w:tcPr/>
          <w:p>
            <w:r>
              <w:t>90 000 000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Ирригационная система (капельное орошение)</w:t>
            </w:r>
          </w:p>
        </w:tc>
        <w:tc>
          <w:tcPr/>
          <w:p>
            <w:r>
              <w:t>120 000 000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Хозпостройки / загоны</w:t>
            </w:r>
          </w:p>
        </w:tc>
        <w:tc>
          <w:tcPr/>
          <w:p>
            <w:r>
              <w:t>70 000 000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Холодильная камера / мини-хранилище</w:t>
            </w:r>
          </w:p>
        </w:tc>
        <w:tc>
          <w:tcPr/>
          <w:p>
            <w:r>
              <w:t>130 000 000</w:t>
            </w:r>
          </w:p>
        </w:tc>
        <w:tc>
          <w:tcPr/>
          <w:p>
            <w:r>
              <w:t>Основные средства</w:t>
            </w:r>
          </w:p>
        </w:tc>
      </w:tr>
      <w:tr>
        <w:tc>
          <w:tcPr/>
          <w:p>
            <w:r>
              <w:t>Аренда/оформление земельного участка</w:t>
            </w:r>
          </w:p>
        </w:tc>
        <w:tc>
          <w:tcPr/>
          <w:p>
            <w:r>
              <w:t>25 000 000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Семена/посадочный материал</w:t>
            </w:r>
          </w:p>
        </w:tc>
        <w:tc>
          <w:tcPr/>
          <w:p>
            <w:r>
              <w:t>182 000 000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Регистрация фермерского хозяйства</w:t>
            </w:r>
          </w:p>
        </w:tc>
        <w:tc>
          <w:tcPr/>
          <w:p>
            <w:r>
              <w:t>3 000 000</w:t>
            </w:r>
          </w:p>
        </w:tc>
        <w:tc>
          <w:tcPr/>
          <w:p>
            <w:r>
              <w:t>Оборотные средства</w:t>
            </w:r>
          </w:p>
        </w:tc>
      </w:tr>
      <w:tr>
        <w:tc>
          <w:tcPr/>
          <w:p>
            <w:r>
              <w:t>Итого основные средства</w:t>
            </w:r>
          </w:p>
        </w:tc>
        <w:tc>
          <w:tcPr/>
          <w:p>
            <w:r>
              <w:rPr>
                <w:b/>
              </w:rPr>
              <w:t>410 000 000</w:t>
            </w:r>
          </w:p>
        </w:tc>
        <w:tc>
          <w:tcPr/>
          <w:p/>
        </w:tc>
      </w:tr>
      <w:tr>
        <w:tc>
          <w:tcPr/>
          <w:p>
            <w:r>
              <w:t>Итого оборотные средства</w:t>
            </w:r>
          </w:p>
        </w:tc>
        <w:tc>
          <w:tcPr/>
          <w:p>
            <w:r>
              <w:rPr>
                <w:b/>
              </w:rPr>
              <w:t>210 000 000</w:t>
            </w:r>
          </w:p>
        </w:tc>
        <w:tc>
          <w:tcPr/>
          <w:p/>
        </w:tc>
      </w:tr>
      <w:tr>
        <w:tc>
          <w:tcPr/>
          <w:p>
            <w:r>
              <w:rPr>
                <w:b/>
              </w:rPr>
              <w:t>ИТОГО СМЕТА ПРОЕКТА</w:t>
            </w:r>
          </w:p>
        </w:tc>
        <w:tc>
          <w:tcPr/>
          <w:p>
            <w:r>
              <w:rPr>
                <w:b/>
              </w:rPr>
              <w:t>620 000 000</w:t>
            </w:r>
          </w:p>
        </w:tc>
        <w:tc>
          <w:tcPr/>
          <w:p/>
        </w:tc>
      </w:tr>
    </w:tbl>
    <w:p>
      <w:r>
        <w:rPr>
          <w:rStyle w:val="CkCaption"/>
          <w:i/>
        </w:rPr>
        <w:t>В этом примере расчётная величина дополнительного финансирования оборотного капитала на выход на мощность равна нулю — стартовых статей ниже (плюс условия кредита: льготный период 12 мес.) достаточно, чтобы денежный поток оставался положительным весь Год 1 без дополнительного пополнения (см. лист «Поток наличности» в Excel).</w:t>
      </w:r>
    </w:p>
    <w:p>
      <w:r>
        <w:rPr>
          <w:b/>
        </w:rPr>
        <w:t>Структура финансирования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Источник</w:t>
            </w:r>
          </w:p>
        </w:tc>
        <w:tc>
          <w:tcPr/>
          <w:p>
            <w:r>
              <w:rPr>
                <w:b/>
              </w:rPr>
              <w:t>Сумма, сум</w:t>
            </w:r>
          </w:p>
        </w:tc>
        <w:tc>
          <w:tcPr/>
          <w:p>
            <w:r>
              <w:rPr>
                <w:b/>
              </w:rPr>
              <w:t>Доля, %</w:t>
            </w:r>
          </w:p>
        </w:tc>
      </w:tr>
      <w:tr>
        <w:tc>
          <w:tcPr/>
          <w:p>
            <w:r>
              <w:t>Банковский кредит</w:t>
            </w:r>
          </w:p>
        </w:tc>
        <w:tc>
          <w:tcPr/>
          <w:p>
            <w:r>
              <w:t>410 000 000</w:t>
            </w:r>
          </w:p>
        </w:tc>
        <w:tc>
          <w:tcPr/>
          <w:p>
            <w:r>
              <w:t>64,8%</w:t>
            </w:r>
          </w:p>
        </w:tc>
      </w:tr>
      <w:tr>
        <w:tc>
          <w:tcPr/>
          <w:p>
            <w:r>
              <w:t>Собственный капитал инициатора</w:t>
            </w:r>
          </w:p>
        </w:tc>
        <w:tc>
          <w:tcPr/>
          <w:p>
            <w:r>
              <w:t>222 250 000</w:t>
            </w:r>
          </w:p>
        </w:tc>
        <w:tc>
          <w:tcPr/>
          <w:p>
            <w:r>
              <w:t>35,2%</w:t>
            </w:r>
          </w:p>
        </w:tc>
      </w:tr>
      <w:tr>
        <w:tc>
          <w:tcPr/>
          <w:p>
            <w:r>
              <w:rPr>
                <w:b/>
              </w:rPr>
              <w:t>ИТОГО ПОТРЕБНОСТЬ В ФИНАНСИРОВАНИИ</w:t>
            </w:r>
          </w:p>
        </w:tc>
        <w:tc>
          <w:tcPr/>
          <w:p>
            <w:r>
              <w:rPr>
                <w:b/>
              </w:rPr>
              <w:t>632 250 000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</w:tr>
    </w:tbl>
    <w:p>
      <w:r>
        <w:rPr>
          <w:b/>
        </w:rPr>
        <w:t>Условия кредита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Параметр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Сумма кредита</w:t>
            </w:r>
          </w:p>
        </w:tc>
        <w:tc>
          <w:tcPr/>
          <w:p>
            <w:r>
              <w:t>410 000 000 сум</w:t>
            </w:r>
          </w:p>
        </w:tc>
      </w:tr>
      <w:tr>
        <w:tc>
          <w:tcPr/>
          <w:p>
            <w:r>
              <w:t>Срок</w:t>
            </w:r>
          </w:p>
        </w:tc>
        <w:tc>
          <w:tcPr/>
          <w:p>
            <w:r>
              <w:t>60 месяцев</w:t>
            </w:r>
          </w:p>
        </w:tc>
      </w:tr>
      <w:tr>
        <w:tc>
          <w:tcPr/>
          <w:p>
            <w:r>
              <w:t>Процентная ставка</w:t>
            </w:r>
          </w:p>
        </w:tc>
        <w:tc>
          <w:tcPr/>
          <w:p>
            <w:r>
              <w:t>22% годовых</w:t>
            </w:r>
          </w:p>
        </w:tc>
      </w:tr>
      <w:tr>
        <w:tc>
          <w:tcPr/>
          <w:p>
            <w:r>
              <w:t>Льготный период (уплата только процентов)</w:t>
            </w:r>
          </w:p>
        </w:tc>
        <w:tc>
          <w:tcPr/>
          <w:p>
            <w:r>
              <w:t>12 месяца(ев)</w:t>
            </w:r>
          </w:p>
        </w:tc>
      </w:tr>
      <w:tr>
        <w:tc>
          <w:tcPr/>
          <w:p>
            <w:r>
              <w:t>Порядок погашения основного долга</w:t>
            </w:r>
          </w:p>
        </w:tc>
        <w:tc>
          <w:tcPr/>
          <w:p>
            <w:r>
              <w:t>равными долями после льготного периода</w:t>
            </w:r>
          </w:p>
        </w:tc>
      </w:tr>
      <w:tr>
        <w:tc>
          <w:tcPr/>
          <w:p>
            <w:r>
              <w:t>Разовые сборы (комиссия банка 1,5%, нотариальное оформление залога, страхование залога 1%)</w:t>
            </w:r>
          </w:p>
        </w:tc>
        <w:tc>
          <w:tcPr/>
          <w:p>
            <w:r>
              <w:t>12 250 000 сум</w:t>
            </w:r>
          </w:p>
        </w:tc>
      </w:tr>
    </w:tbl>
    <w:p>
      <w:r>
        <w:t>[Впишите] Замените суммы, условия кредита и долю собственного капитала на данные вашего проекта — банк оценивает прежде всего долю собственного участия заёмщика и достаточность залогового обеспечения.</w:t>
      </w:r>
    </w:p>
    <w:p>
      <w:pPr>
        <w:pStyle w:val="Heading2"/>
        <ck:id v="financial-plan"/>
      </w:pPr>
      <w:bookmarkStart w:id="12" w:name="financial_plan"/>
      <w:r>
        <w:t>Финансовый план</w:t>
      </w:r>
      <w:bookmarkEnd w:id="12"/>
    </w:p>
    <w:p>
      <w:r>
        <w:rPr>
          <w:rStyle w:val="CkCaption"/>
          <w:i/>
        </w:rPr>
        <w:t>Показатели ниже рассчитаны в приложенном Excel-файле по формулам и приведены здесь для удобства чтения; при изменении исходных данных в Excel все цифры пересчитаются автоматически.</w:t>
      </w:r>
    </w:p>
    <w:p>
      <w:r>
        <w:rPr>
          <w:b/>
        </w:rPr>
        <w:t>Выручка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Канал сбыта</w:t>
            </w:r>
          </w:p>
        </w:tc>
        <w:tc>
          <w:tcPr/>
          <w:p>
            <w:r>
              <w:rPr>
                <w:b/>
              </w:rPr>
              <w:t>Доля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</w:tr>
      <w:tr>
        <w:tc>
          <w:tcPr/>
          <w:p>
            <w:r>
              <w:t>Продажа урожая оптовым закупщикам</w:t>
            </w:r>
          </w:p>
        </w:tc>
        <w:tc>
          <w:tcPr/>
          <w:p>
            <w:r>
              <w:t>61%</w:t>
            </w:r>
          </w:p>
        </w:tc>
        <w:tc>
          <w:tcPr/>
          <w:p>
            <w:r>
              <w:t>12 500 000</w:t>
            </w:r>
          </w:p>
        </w:tc>
      </w:tr>
      <w:tr>
        <w:tc>
          <w:tcPr/>
          <w:p>
            <w:r>
              <w:t>Продажа на рынке / через кооператив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3 000 000</w:t>
            </w:r>
          </w:p>
        </w:tc>
      </w:tr>
      <w:tr>
        <w:tc>
          <w:tcPr/>
          <w:p>
            <w:r>
              <w:t>Переработка (сушка, соки, консервация)</w:t>
            </w:r>
          </w:p>
        </w:tc>
        <w:tc>
          <w:tcPr/>
          <w:p>
            <w:r>
              <w:t>10%</w:t>
            </w:r>
          </w:p>
        </w:tc>
        <w:tc>
          <w:tcPr/>
          <w:p>
            <w:r>
              <w:t>2 000 000</w:t>
            </w:r>
          </w:p>
        </w:tc>
      </w:tr>
      <w:tr>
        <w:tc>
          <w:tcPr/>
          <w:p>
            <w:r>
              <w:t>Экспортные контракты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3 000 000</w:t>
            </w:r>
          </w:p>
        </w:tc>
      </w:tr>
      <w:tr>
        <w:tc>
          <w:tcPr/>
          <w:p>
            <w:r>
              <w:rPr>
                <w:b/>
              </w:rPr>
              <w:t>ИТОГО ВЫРУЧКА ПРИ ПОЛНОЙ МОЩНОСТИ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>
            <w:r>
              <w:rPr>
                <w:b/>
              </w:rPr>
              <w:t>20 500 000</w:t>
            </w:r>
          </w:p>
        </w:tc>
      </w:tr>
    </w:tbl>
    <w:p>
      <w:r>
        <w:rPr>
          <w:b/>
        </w:rPr>
        <w:t>Затраты при выходе на проектную мощность (сум/мес)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Статья затрат</w:t>
            </w:r>
          </w:p>
        </w:tc>
        <w:tc>
          <w:tcPr/>
          <w:p>
            <w:r>
              <w:rPr>
                <w:b/>
              </w:rPr>
              <w:t>Сумма, сум/мес</w:t>
            </w:r>
          </w:p>
        </w:tc>
        <w:tc>
          <w:tcPr/>
          <w:p>
            <w:r>
              <w:rPr>
                <w:b/>
              </w:rPr>
              <w:t>Доля постоянных</w:t>
            </w:r>
          </w:p>
        </w:tc>
      </w:tr>
      <w:tr>
        <w:tc>
          <w:tcPr/>
          <w:p>
            <w:r>
              <w:t>Сырьё / материалы</w:t>
            </w:r>
          </w:p>
        </w:tc>
        <w:tc>
          <w:tcPr/>
          <w:p>
            <w:r>
              <w:t>5 000 000</w:t>
            </w:r>
          </w:p>
        </w:tc>
        <w:tc>
          <w:tcPr/>
          <w:p>
            <w:r>
              <w:t>0%</w:t>
            </w:r>
          </w:p>
        </w:tc>
      </w:tr>
      <w:tr>
        <w:tc>
          <w:tcPr/>
          <w:p>
            <w:r>
              <w:t>Коммунальные услуги</w:t>
            </w:r>
          </w:p>
        </w:tc>
        <w:tc>
          <w:tcPr/>
          <w:p>
            <w:r>
              <w:t>2 000 000</w:t>
            </w:r>
          </w:p>
        </w:tc>
        <w:tc>
          <w:tcPr/>
          <w:p>
            <w:r>
              <w:t>30%</w:t>
            </w:r>
          </w:p>
        </w:tc>
      </w:tr>
      <w:tr>
        <w:tc>
          <w:tcPr/>
          <w:p>
            <w:r>
              <w:t>ФОТ и ЕСП производственный</w:t>
            </w:r>
          </w:p>
        </w:tc>
        <w:tc>
          <w:tcPr/>
          <w:p>
            <w:r>
              <w:t>6 160 000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Амортизация</w:t>
            </w:r>
          </w:p>
        </w:tc>
        <w:tc>
          <w:tcPr/>
          <w:p>
            <w:r>
              <w:t>4 333 333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t>Прочие общехозяйственные расходы</w:t>
            </w:r>
          </w:p>
        </w:tc>
        <w:tc>
          <w:tcPr/>
          <w:p>
            <w:r>
              <w:t>5 500 000</w:t>
            </w:r>
          </w:p>
        </w:tc>
        <w:tc>
          <w:tcPr/>
          <w:p>
            <w:r>
              <w:t>100%</w:t>
            </w:r>
          </w:p>
        </w:tc>
      </w:tr>
      <w:tr>
        <w:tc>
          <w:tcPr/>
          <w:p>
            <w:r>
              <w:rPr>
                <w:b/>
              </w:rPr>
              <w:t>ИТОГО ЗАТРАТЫ ПРИ ПОЛНОЙ МОЩНОСТИ</w:t>
            </w:r>
          </w:p>
        </w:tc>
        <w:tc>
          <w:tcPr/>
          <w:p>
            <w:r>
              <w:rPr>
                <w:b/>
              </w:rPr>
              <w:t>22 993 333</w:t>
            </w:r>
          </w:p>
        </w:tc>
        <w:tc>
          <w:tcPr/>
          <w:p/>
        </w:tc>
      </w:tr>
    </w:tbl>
    <w:p>
      <w:r>
        <w:rPr>
          <w:b/>
        </w:rPr>
        <w:t>Выход на мощность в Году 1</w:t>
      </w:r>
      <w:r>
        <w:t xml:space="preserve"> — проект не стартует сразу со 100% загрузки: в модели заложен постепенный выход на проектную мощность за 6 месяцев (50% → 65% → 78% → 88% → 95% → 100%), что реалистичнее для нового бизнеса и напрямую влияет на потребность в оборотном капитале и денежный поток первых месяцев (см. лист «План продаж» в Excel).</w:t>
      </w:r>
    </w:p>
    <w:p>
      <w:r>
        <w:rPr>
          <w:b/>
        </w:rPr>
        <w:t>Ключевые показатели по месяцам Года 1, сум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Мес. 1</w:t>
            </w:r>
          </w:p>
        </w:tc>
        <w:tc>
          <w:tcPr/>
          <w:p>
            <w:r>
              <w:rPr>
                <w:b/>
              </w:rPr>
              <w:t>Мес. 3</w:t>
            </w:r>
          </w:p>
        </w:tc>
        <w:tc>
          <w:tcPr/>
          <w:p>
            <w:r>
              <w:rPr>
                <w:b/>
              </w:rPr>
              <w:t>Мес. 6</w:t>
            </w:r>
          </w:p>
        </w:tc>
        <w:tc>
          <w:tcPr/>
          <w:p>
            <w:r>
              <w:rPr>
                <w:b/>
              </w:rPr>
              <w:t>Мес. 12</w:t>
            </w:r>
          </w:p>
        </w:tc>
      </w:tr>
      <w:tr>
        <w:tc>
          <w:tcPr/>
          <w:p>
            <w:r>
              <w:t>Выручка</w:t>
            </w:r>
          </w:p>
        </w:tc>
        <w:tc>
          <w:tcPr/>
          <w:p>
            <w:r>
              <w:t>10 250 000</w:t>
            </w:r>
          </w:p>
        </w:tc>
        <w:tc>
          <w:tcPr/>
          <w:p>
            <w:r>
              <w:t>15 990 000</w:t>
            </w:r>
          </w:p>
        </w:tc>
        <w:tc>
          <w:tcPr/>
          <w:p>
            <w:r>
              <w:t>20 500 000</w:t>
            </w:r>
          </w:p>
        </w:tc>
        <w:tc>
          <w:tcPr/>
          <w:p>
            <w:r>
              <w:t>22 020 995</w:t>
            </w:r>
          </w:p>
        </w:tc>
      </w:tr>
      <w:tr>
        <w:tc>
          <w:tcPr/>
          <w:p>
            <w:r>
              <w:t>Чистая прибыль</w:t>
            </w:r>
          </w:p>
        </w:tc>
        <w:tc>
          <w:tcPr/>
          <w:p>
            <w:r>
              <w:t>−17 060 000</w:t>
            </w:r>
          </w:p>
        </w:tc>
        <w:tc>
          <w:tcPr/>
          <w:p>
            <w:r>
              <w:t>−13 112 000</w:t>
            </w:r>
          </w:p>
        </w:tc>
        <w:tc>
          <w:tcPr/>
          <w:p>
            <w:r>
              <w:t>−10 010 000</w:t>
            </w:r>
          </w:p>
        </w:tc>
        <w:tc>
          <w:tcPr/>
          <w:p>
            <w:r>
              <w:t>−8 963 852</w:t>
            </w:r>
          </w:p>
        </w:tc>
      </w:tr>
      <w:tr>
        <w:tc>
          <w:tcPr/>
          <w:p>
            <w:r>
              <w:t>Остаток денежных средств на конец периода</w:t>
            </w:r>
          </w:p>
        </w:tc>
        <w:tc>
          <w:tcPr/>
          <w:p>
            <w:r>
              <w:t>178 730 000</w:t>
            </w:r>
          </w:p>
        </w:tc>
        <w:tc>
          <w:tcPr/>
          <w:p>
            <w:r>
              <w:t>151 107 667</w:t>
            </w:r>
          </w:p>
        </w:tc>
        <w:tc>
          <w:tcPr/>
          <w:p>
            <w:r>
              <w:t>125 212 667</w:t>
            </w:r>
          </w:p>
        </w:tc>
        <w:tc>
          <w:tcPr/>
          <w:p>
            <w:r>
              <w:t>92 596 460</w:t>
            </w:r>
          </w:p>
        </w:tc>
      </w:tr>
    </w:tbl>
    <w:p>
      <w:r>
        <w:rPr>
          <w:rStyle w:val="CkCaption"/>
          <w:i/>
        </w:rPr>
        <w:t>Денежный поток остаётся положительным весь Год 1 при условии, что собственный капитал инициатора действительно покрывает не только основные средства, но и нарастание дебиторской задолженности и запасов на период выхода на мощность (см. смету выше).</w:t>
      </w:r>
    </w:p>
    <w:p>
      <w:r>
        <w:rPr>
          <w:b/>
        </w:rPr>
        <w:t>Точка безубыточности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Показатель</w:t>
            </w:r>
          </w:p>
        </w:tc>
        <w:tc>
          <w:tcPr/>
          <w:p>
            <w:r>
              <w:rPr>
                <w:b/>
              </w:rPr>
              <w:t>Значение</w:t>
            </w:r>
          </w:p>
        </w:tc>
      </w:tr>
      <w:tr>
        <w:tc>
          <w:tcPr/>
          <w:p>
            <w:r>
              <w:t>Маржинальная рентабельность (вклад на покрытие)</w:t>
            </w:r>
          </w:p>
        </w:tc>
        <w:tc>
          <w:tcPr/>
          <w:p>
            <w:r>
              <w:t>68,8%</w:t>
            </w:r>
          </w:p>
        </w:tc>
      </w:tr>
      <w:tr>
        <w:tc>
          <w:tcPr/>
          <w:p>
            <w:r>
              <w:t>Постоянные затраты, сум/мес</w:t>
            </w:r>
          </w:p>
        </w:tc>
        <w:tc>
          <w:tcPr/>
          <w:p>
            <w:r>
              <w:t>16 593 333</w:t>
            </w:r>
          </w:p>
        </w:tc>
      </w:tr>
      <w:tr>
        <w:tc>
          <w:tcPr/>
          <w:p>
            <w:r>
              <w:t>Точка безубыточности по выручке, сум/мес</w:t>
            </w:r>
          </w:p>
        </w:tc>
        <w:tc>
          <w:tcPr/>
          <w:p>
            <w:r>
              <w:t>24 125 059</w:t>
            </w:r>
          </w:p>
        </w:tc>
      </w:tr>
      <w:tr>
        <w:tc>
          <w:tcPr/>
          <w:p>
            <w:r>
              <w:t>Точка безубыточности, % от проектной мощности</w:t>
            </w:r>
          </w:p>
        </w:tc>
        <w:tc>
          <w:tcPr/>
          <w:p>
            <w:r>
              <w:t>117,7%</w:t>
            </w:r>
          </w:p>
        </w:tc>
      </w:tr>
    </w:tbl>
    <w:p>
      <w:r>
        <w:rPr>
          <w:b/>
        </w:rPr>
        <w:t>Срок окупаемости и эффективность</w:t>
      </w:r>
    </w:p>
    <w:p>
      <w:r>
        <w:t>Здесь важна многолетняя природа садоводства: приведённый Год 1 расчёта — это средний месяц 3-го года проекта (первый частичный товарный урожай), при котором операционная прибыль ещё тонкая, а обслуживание кредита даёт небольшой отрицательный чистый результат. Заявленный срок окупаемости 5-6 лет реалистичен только для проекта целиком: годы 1-2 — закладка сада без товарного урожая, год 3 — частичный урожай (показан в расчёте), годы 4-6 — урожайность растёт к пиковой, и накопленная за эти годы прибыль покрывает инвестиции. Считать окупаемость по прибыли одного года для многолетних агропроектов методологически неверно — расчёт должен строиться на накопленном денежном потоке за весь горизонт до пиковой урожайности.</w:t>
      </w:r>
    </w:p>
    <w:p>
      <w:r>
        <w:rPr>
          <w:rStyle w:val="CkCaption"/>
          <w:i/>
        </w:rPr>
        <w:t>NPV и IRR в приложенном Excel-файле рассчитаны только за Год 1 проекта (12 месяцев) — в течение этого периода компания обычно ещё не успевает полностью окупить стартовые вложения. IRR за 12 месяцев математически не определяется, когда денежный поток года ещё не покрывает инвестиции (лист «NPV и IRR» показывает «н/д» в этом случае) — это ожидаемо для капиталоёмких проектов и не является ошибкой расчёта. Для реальной заявки в банк расширьте период анализа на нужное количество лет.</w:t>
      </w:r>
    </w:p>
    <w:p>
      <w:r>
        <w:t>[Впишите] Пересчитайте все показатели этого раздела на основе цен, ставок аренды/зарплат и объёмов продаж вашего проекта в вашем регионе — они автоматически обновятся и в приложенном Excel-файле.</w:t>
      </w:r>
    </w:p>
    <w:p>
      <w:pPr>
        <w:pStyle w:val="Heading2"/>
        <ck:id v="risks"/>
      </w:pPr>
      <w:bookmarkStart w:id="13" w:name="risks"/>
      <w:r>
        <w:t>Оценка рисков</w:t>
      </w:r>
      <w:bookmarkEnd w:id="13"/>
    </w:p>
    <w:p>
      <w:r>
        <w:rPr>
          <w:rStyle w:val="CkCaption"/>
          <w:i/>
        </w:rPr>
        <w:t>Веса ниже отражают ОТНОСИТЕЛЬНУЮ значимость рисков друг относительно друга (в сумме — 100%), а не вероятность в процентах; оценка — экспертная, по шкале от 1 (низкий риск) до 5 (высокий риск).</w:t>
      </w:r>
    </w:p>
    <w:tbl>
      <w:tblPr>
        <w:tblStyle w:val="CkTable"/>
        <w:tblW w:w="0" w:type="auto"/>
        <w:tblLayout w:type="autofit"/>
        <w:tblLook w:firstRow="1" w:lastRow="0" w:firstColumn="0" w:lastColumn="0" w:noHBand="0" w:noVBand="1"/>
      </w:tblPr>
      <w:tblGrid>
        <w:gridCol/>
        <w:gridCol/>
        <w:gridCol/>
        <w:gridCol/>
        <w:gridCol/>
      </w:tblGrid>
      <w:tr>
        <w:trPr>
          <w:tblHeader/>
        </w:trPr>
        <w:tc>
          <w:tcPr/>
          <w:p>
            <w:r>
              <w:rPr>
                <w:b/>
              </w:rPr>
              <w:t>Риск</w:t>
            </w:r>
          </w:p>
        </w:tc>
        <w:tc>
          <w:tcPr/>
          <w:p>
            <w:r>
              <w:rPr>
                <w:b/>
              </w:rPr>
              <w:t>Вес, %</w:t>
            </w:r>
          </w:p>
        </w:tc>
        <w:tc>
          <w:tcPr/>
          <w:p>
            <w:r>
              <w:rPr>
                <w:b/>
              </w:rPr>
              <w:t>Оценка (1-5)</w:t>
            </w:r>
          </w:p>
        </w:tc>
        <w:tc>
          <w:tcPr/>
          <w:p>
            <w:r>
              <w:rPr>
                <w:b/>
              </w:rPr>
              <w:t>Взвешенный балл</w:t>
            </w:r>
          </w:p>
        </w:tc>
        <w:tc>
          <w:tcPr/>
          <w:p>
            <w:r>
              <w:rPr>
                <w:b/>
              </w:rPr>
              <w:t>Меры снижения</w:t>
            </w:r>
          </w:p>
        </w:tc>
      </w:tr>
      <w:tr>
        <w:tc>
          <w:tcPr/>
          <w:p>
            <w:r>
              <w:t>Погодные и климатические риски (засуха, заморозки, град)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Страхование урожая, эффективная капельная ирригация, снижающая зависимость от осадков</w:t>
            </w:r>
          </w:p>
        </w:tc>
      </w:tr>
      <w:tr>
        <w:tc>
          <w:tcPr/>
          <w:p>
            <w:r>
              <w:t>Волатильность закупочных цен в сезон массового сбора урожая</w:t>
            </w:r>
          </w:p>
        </w:tc>
        <w:tc>
          <w:tcPr/>
          <w:p>
            <w:r>
              <w:t>20%</w:t>
            </w:r>
          </w:p>
        </w:tc>
        <w:tc>
          <w:tcPr/>
          <w:p>
            <w:r>
              <w:t>4</w:t>
            </w:r>
          </w:p>
        </w:tc>
        <w:tc>
          <w:tcPr/>
          <w:p>
            <w:r>
              <w:t>0,80</w:t>
            </w:r>
          </w:p>
        </w:tc>
        <w:tc>
          <w:tcPr/>
          <w:p>
            <w:r>
              <w:t>Долгосрочные контракты с переработчиками/сетями, собственное хранение для продажи в межсезонье</w:t>
            </w:r>
          </w:p>
        </w:tc>
      </w:tr>
      <w:tr>
        <w:tc>
          <w:tcPr/>
          <w:p>
            <w:r>
              <w:t>Вредители, болезни растений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Агроконсультации, севооборот, профилактические обработки по графику</w:t>
            </w:r>
          </w:p>
        </w:tc>
      </w:tr>
      <w:tr>
        <w:tc>
          <w:tcPr/>
          <w:p>
            <w:r>
              <w:t>Дефицит и рост стоимости поливной воды в пиковый сезон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3</w:t>
            </w:r>
          </w:p>
        </w:tc>
        <w:tc>
          <w:tcPr/>
          <w:p>
            <w:r>
              <w:t>0,45</w:t>
            </w:r>
          </w:p>
        </w:tc>
        <w:tc>
          <w:tcPr/>
          <w:p>
            <w:r>
              <w:t>Капельное орошение, водосберегающие технологии, чёткий график полива</w:t>
            </w:r>
          </w:p>
        </w:tc>
      </w:tr>
      <w:tr>
        <w:tc>
          <w:tcPr/>
          <w:p>
            <w:r>
              <w:t>Потери урожая из-за сбоев холодильного хранения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Резервное электропитание камеры, страхование груза, контроль температурного режима</w:t>
            </w:r>
          </w:p>
        </w:tc>
      </w:tr>
      <w:tr>
        <w:tc>
          <w:tcPr/>
          <w:p>
            <w:r>
              <w:t>Изменение условий льготного кредитования и субсидий</w:t>
            </w:r>
          </w:p>
        </w:tc>
        <w:tc>
          <w:tcPr/>
          <w:p>
            <w:r>
              <w:t>15%</w:t>
            </w:r>
          </w:p>
        </w:tc>
        <w:tc>
          <w:tcPr/>
          <w:p>
            <w:r>
              <w:t>2</w:t>
            </w:r>
          </w:p>
        </w:tc>
        <w:tc>
          <w:tcPr/>
          <w:p>
            <w:r>
              <w:t>0,30</w:t>
            </w:r>
          </w:p>
        </w:tc>
        <w:tc>
          <w:tcPr/>
          <w:p>
            <w:r>
              <w:t>Диверсификация источников финансирования, не полагаться только на господдержку в расчёте окупаемости</w:t>
            </w:r>
          </w:p>
        </w:tc>
      </w:tr>
      <w:tr>
        <w:tc>
          <w:tcPr/>
          <w:p>
            <w:r>
              <w:rPr>
                <w:b/>
              </w:rPr>
              <w:t>ИТОГО</w:t>
            </w:r>
          </w:p>
        </w:tc>
        <w:tc>
          <w:tcPr/>
          <w:p>
            <w:r>
              <w:rPr>
                <w:b/>
              </w:rPr>
              <w:t>100%</w:t>
            </w:r>
          </w:p>
        </w:tc>
        <w:tc>
          <w:tcPr/>
          <w:p/>
        </w:tc>
        <w:tc>
          <w:tcPr/>
          <w:p>
            <w:r>
              <w:rPr>
                <w:b/>
              </w:rPr>
              <w:t>3,10 из 5</w:t>
            </w:r>
          </w:p>
        </w:tc>
        <w:tc>
          <w:tcPr/>
          <w:p/>
        </w:tc>
      </w:tr>
    </w:tbl>
    <w:p>
      <w:r>
        <w:t>Итоговая взвешенная оценка (3,10 из 5) отражает экспертную оценку совокупного уровня риска проекта.</w:t>
      </w:r>
    </w:p>
    <w:p>
      <w:r>
        <w:t>[Впишите] Дополните таблицу своими рисками, специфичными для вашего проекта и региона, и пересчитайте веса.</w:t>
      </w:r>
    </w:p>
    <w:p>
      <w:pPr>
        <w:pStyle w:val="Heading2"/>
        <ck:id v="conclusion"/>
      </w:pPr>
      <w:bookmarkStart w:id="14" w:name="conclusion"/>
      <w:r>
        <w:t>Заключение</w:t>
      </w:r>
      <w:bookmarkEnd w:id="14"/>
    </w:p>
    <w:p>
      <w:r>
        <w:t>[Впишите] Краткий вывод: почему проект целесообразен, какую пользу он приносит региону/отрасли, и какое решение вы просите у банка/инвестора.</w:t>
      </w:r>
    </w:p>
    <w:sdt>
      <w:sdtPr>
        <w:tag w:val="clarkdown:div"/>
        <ck:div v="|panel|"/>
      </w:sdtPr>
      <w:sdtContent>
        <w:tbl>
          <w:tblPr>
            <w:tblW w:w="5000" w:type="pct"/>
            <w:tblBorders>
              <w:top w:val="none"/>
              <w:left w:val="none"/>
              <w:bottom w:val="none"/>
              <w:right w:val="none"/>
              <w:insideH w:val="none"/>
              <w:insideV w:val="none"/>
            </w:tblBorders>
            <w:tblCellMar>
              <w:top w:w="320" w:type="dxa"/>
              <w:left w:w="240" w:type="dxa"/>
              <w:bottom w:w="320" w:type="dxa"/>
              <w:right w:w="240" w:type="dxa"/>
            </w:tblCellMar>
          </w:tblPr>
          <w:tblGrid>
            <w:gridCol/>
          </w:tblGrid>
          <w:tr>
            <w:tc>
              <w:tcPr>
                <w:shd w:val="clear" w:fill="E4E4E4"/>
              </w:tcPr>
              <w:p>
                <w:r>
                  <w:rPr>
                    <w:rStyle w:val="CkKicker"/>
                  </w:rPr>
                  <w:t>ПРИМЕР</w:t>
                </w:r>
              </w:p>
              <w:p>
                <w:r>
                  <w:t>Проект создаёт постоянные и сезонные рабочие места в сельской местности Самаркандской области, использует водосберегающее капельное орошение и снижает послеуборочные потери за счёт собственного холодильного хранения. В силу многолетней природы садоводства банку/инвестору предлагается оценивать эффективность проекта на горизонте 5-6 лет по накопленному денежному потоку, а не по прибыли одного года.</w:t>
                </w:r>
              </w:p>
            </w:tc>
          </w:tr>
        </w:tbl>
      </w:sdtContent>
    </w:sdt>
    <w:sectPr>
      <ck:section v="1:||margins=1.1in,size=letter"/>
      <w:footerReference w:type="default" r:id="rIdHf1"/>
      <w:pgSz w:w="12240" w:h="15840"/>
      <w:pgMar w:top="1584" w:right="1584" w:bottom="1584" w:left="1584" w:header="720" w:footer="720" w:gutter="0"/>
    </w:sectPr>
  </w:body>
</w:document>
</file>

<file path=word/fontTable.xml><?xml version="1.0" encoding="utf-8"?>
<w:fonts xmlns:w="http://schemas.openxmlformats.org/wordprocessingml/2006/main">
  <w:font w:name="Cambria">
    <w:family w:val="roman"/>
  </w:font>
  <w:font w:name="Consolas">
    <w:family w:val="modern"/>
  </w:font>
</w:fonts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="http://schemas.openxmlformats.org/officeDocument/2006/math" xmlns:mc="http://schemas.openxmlformats.org/markup-compatibility/2006" xmlns:ck="urn:clarkdown:docx" mc:Ignorable="ck">
  <w:sdt>
    <w:sdtPr>
      <w:tag w:val="clarkdown:div"/>
      <ck:div v="||text-align=center"/>
    </w:sdtPr>
    <w:sdtContent>
      <w:p>
        <w:pPr>
          <w:jc w:val="center"/>
        </w:pPr>
        <w:r>
          <w:t xml:space="preserve">MoliyaHub · </w:t>
        </w:r>
        <w:fldSimple w:instr="PAGE">
          <w:r>
            <w:t>1</w:t>
          </w:r>
        </w:fldSimple>
      </w:p>
    </w:sdtContent>
  </w:sdt>
</w:ftr>
</file>

<file path=word/numbering.xml><?xml version="1.0" encoding="utf-8"?>
<w:numbering xmlns:w="http://schemas.openxmlformats.org/wordprocessingml/2006/main">
  <w:abstractNum w:abstractNumId="1">
    <w:multiLevelType w:val="hybridMultilevel"/>
    <w:lvl w:ilvl="0">
      <w:start w:val="1"/>
      <w:numFmt w:val="bullet"/>
      <w:lvlText w:val="•"/>
      <w:lvlJc w:val="left"/>
      <w:pPr>
        <w:ind w:left="720" w:hanging="360"/>
      </w:pPr>
    </w:lvl>
    <w:lvl w:ilvl="1">
      <w:start w:val="1"/>
      <w:numFmt w:val="bullet"/>
      <w:lvlText w:val="◦"/>
      <w:lvlJc w:val="left"/>
      <w:pPr>
        <w:ind w:left="1440" w:hanging="360"/>
      </w:pPr>
    </w:lvl>
    <w:lvl w:ilvl="2">
      <w:start w:val="1"/>
      <w:numFmt w:val="bullet"/>
      <w:lvlText w:val="▪"/>
      <w:lvlJc w:val="left"/>
      <w:pPr>
        <w:ind w:left="2160" w:hanging="360"/>
      </w:pPr>
    </w:lvl>
    <w:lvl w:ilvl="3">
      <w:start w:val="1"/>
      <w:numFmt w:val="bullet"/>
      <w:lvlText w:val="•"/>
      <w:lvlJc w:val="left"/>
      <w:pPr>
        <w:ind w:left="2880" w:hanging="360"/>
      </w:pPr>
    </w:lvl>
    <w:lvl w:ilvl="4">
      <w:start w:val="1"/>
      <w:numFmt w:val="bullet"/>
      <w:lvlText w:val="◦"/>
      <w:lvlJc w:val="left"/>
      <w:pPr>
        <w:ind w:left="3600" w:hanging="360"/>
      </w:pPr>
    </w:lvl>
    <w:lvl w:ilvl="5">
      <w:start w:val="1"/>
      <w:numFmt w:val="bullet"/>
      <w:lvlText w:val="▪"/>
      <w:lvlJc w:val="left"/>
      <w:pPr>
        <w:ind w:left="4320" w:hanging="360"/>
      </w:pPr>
    </w:lvl>
    <w:lvl w:ilvl="6">
      <w:start w:val="1"/>
      <w:numFmt w:val="bullet"/>
      <w:lvlText w:val="•"/>
      <w:lvlJc w:val="left"/>
      <w:pPr>
        <w:ind w:left="5040" w:hanging="360"/>
      </w:pPr>
    </w:lvl>
    <w:lvl w:ilvl="7">
      <w:start w:val="1"/>
      <w:numFmt w:val="bullet"/>
      <w:lvlText w:val="◦"/>
      <w:lvlJc w:val="left"/>
      <w:pPr>
        <w:ind w:left="5760" w:hanging="360"/>
      </w:pPr>
    </w:lvl>
    <w:lvl w:ilvl="8">
      <w:start w:val="1"/>
      <w:numFmt w:val="bullet"/>
      <w:lvlText w:val="▪"/>
      <w:lvlJc w:val="left"/>
      <w:pPr>
        <w:ind w:left="6480" w:hanging="360"/>
      </w:pPr>
    </w:lvl>
  </w:abstractNum>
  <w:abstractNum w:abstractNumId="2">
    <w:multiLevelType w:val="hybrid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1."/>
      <w:lvlJc w:val="left"/>
      <w:pPr>
        <w:ind w:left="2880" w:hanging="360"/>
      </w:pPr>
    </w:lvl>
    <w:lvl w:ilvl="4">
      <w:start w:val="1"/>
      <w:numFmt w:val="decimal"/>
      <w:lvlText w:val="%2."/>
      <w:lvlJc w:val="left"/>
      <w:pPr>
        <w:ind w:left="3600" w:hanging="360"/>
      </w:pPr>
    </w:lvl>
    <w:lvl w:ilvl="5">
      <w:start w:val="1"/>
      <w:numFmt w:val="decimal"/>
      <w:lvlText w:val="%3."/>
      <w:lvlJc w:val="left"/>
      <w:pPr>
        <w:ind w:left="4320" w:hanging="360"/>
      </w:pPr>
    </w:lvl>
    <w:lvl w:ilvl="6">
      <w:start w:val="1"/>
      <w:numFmt w:val="decimal"/>
      <w:lvlText w:val="%1."/>
      <w:lvlJc w:val="left"/>
      <w:pPr>
        <w:ind w:left="5040" w:hanging="360"/>
      </w:pPr>
    </w:lvl>
    <w:lvl w:ilvl="7">
      <w:start w:val="1"/>
      <w:numFmt w:val="decimal"/>
      <w:lvlText w:val="%2."/>
      <w:lvlJc w:val="left"/>
      <w:pPr>
        <w:ind w:left="5760" w:hanging="360"/>
      </w:pPr>
    </w:lvl>
    <w:lvl w:ilvl="8">
      <w:start w:val="1"/>
      <w:numFmt w:val="decimal"/>
      <w:lvlText w:val="%3."/>
      <w:lvlJc w:val="left"/>
      <w:pPr>
        <w:ind w:left="6480" w:hanging="360"/>
      </w:pPr>
    </w:lvl>
  </w:abstractNum>
  <w:abstractNum w:abstractNumId="3">
    <w:multiLevelType w:val="hybridMultilevel"/>
    <w:lvl w:ilvl="0">
      <w:start w:val="1"/>
      <w:numFmt w:val="bullet"/>
      <w:lvlText w:val="☐"/>
      <w:lvlJc w:val="left"/>
      <w:pPr>
        <w:ind w:left="720" w:hanging="360"/>
      </w:pPr>
    </w:lvl>
    <w:lvl w:ilvl="1">
      <w:start w:val="1"/>
      <w:numFmt w:val="bullet"/>
      <w:lvlText w:val="☐"/>
      <w:lvlJc w:val="left"/>
      <w:pPr>
        <w:ind w:left="1440" w:hanging="360"/>
      </w:pPr>
    </w:lvl>
    <w:lvl w:ilvl="2">
      <w:start w:val="1"/>
      <w:numFmt w:val="bullet"/>
      <w:lvlText w:val="☐"/>
      <w:lvlJc w:val="left"/>
      <w:pPr>
        <w:ind w:left="2160" w:hanging="360"/>
      </w:pPr>
    </w:lvl>
    <w:lvl w:ilvl="3">
      <w:start w:val="1"/>
      <w:numFmt w:val="bullet"/>
      <w:lvlText w:val="☐"/>
      <w:lvlJc w:val="left"/>
      <w:pPr>
        <w:ind w:left="2880" w:hanging="360"/>
      </w:pPr>
    </w:lvl>
    <w:lvl w:ilvl="4">
      <w:start w:val="1"/>
      <w:numFmt w:val="bullet"/>
      <w:lvlText w:val="☐"/>
      <w:lvlJc w:val="left"/>
      <w:pPr>
        <w:ind w:left="3600" w:hanging="360"/>
      </w:pPr>
    </w:lvl>
    <w:lvl w:ilvl="5">
      <w:start w:val="1"/>
      <w:numFmt w:val="bullet"/>
      <w:lvlText w:val="☐"/>
      <w:lvlJc w:val="left"/>
      <w:pPr>
        <w:ind w:left="4320" w:hanging="360"/>
      </w:pPr>
    </w:lvl>
    <w:lvl w:ilvl="6">
      <w:start w:val="1"/>
      <w:numFmt w:val="bullet"/>
      <w:lvlText w:val="☐"/>
      <w:lvlJc w:val="left"/>
      <w:pPr>
        <w:ind w:left="5040" w:hanging="360"/>
      </w:pPr>
    </w:lvl>
    <w:lvl w:ilvl="7">
      <w:start w:val="1"/>
      <w:numFmt w:val="bullet"/>
      <w:lvlText w:val="☐"/>
      <w:lvlJc w:val="left"/>
      <w:pPr>
        <w:ind w:left="5760" w:hanging="360"/>
      </w:pPr>
    </w:lvl>
    <w:lvl w:ilvl="8">
      <w:start w:val="1"/>
      <w:numFmt w:val="bullet"/>
      <w:lvlText w:val="☐"/>
      <w:lvlJc w:val="left"/>
      <w:pPr>
        <w:ind w:left="6480" w:hanging="360"/>
      </w:pPr>
    </w:lvl>
  </w:abstractNum>
  <w:abstractNum w:abstractNumId="4">
    <w:multiLevelType w:val="hybridMultilevel"/>
    <w:lvl w:ilvl="0">
      <w:start w:val="1"/>
      <w:numFmt w:val="bullet"/>
      <w:lvlText w:val="☑"/>
      <w:lvlJc w:val="left"/>
      <w:pPr>
        <w:ind w:left="720" w:hanging="360"/>
      </w:pPr>
    </w:lvl>
    <w:lvl w:ilvl="1">
      <w:start w:val="1"/>
      <w:numFmt w:val="bullet"/>
      <w:lvlText w:val="☑"/>
      <w:lvlJc w:val="left"/>
      <w:pPr>
        <w:ind w:left="1440" w:hanging="360"/>
      </w:pPr>
    </w:lvl>
    <w:lvl w:ilvl="2">
      <w:start w:val="1"/>
      <w:numFmt w:val="bullet"/>
      <w:lvlText w:val="☑"/>
      <w:lvlJc w:val="left"/>
      <w:pPr>
        <w:ind w:left="2160" w:hanging="360"/>
      </w:pPr>
    </w:lvl>
    <w:lvl w:ilvl="3">
      <w:start w:val="1"/>
      <w:numFmt w:val="bullet"/>
      <w:lvlText w:val="☑"/>
      <w:lvlJc w:val="left"/>
      <w:pPr>
        <w:ind w:left="2880" w:hanging="360"/>
      </w:pPr>
    </w:lvl>
    <w:lvl w:ilvl="4">
      <w:start w:val="1"/>
      <w:numFmt w:val="bullet"/>
      <w:lvlText w:val="☑"/>
      <w:lvlJc w:val="left"/>
      <w:pPr>
        <w:ind w:left="3600" w:hanging="360"/>
      </w:pPr>
    </w:lvl>
    <w:lvl w:ilvl="5">
      <w:start w:val="1"/>
      <w:numFmt w:val="bullet"/>
      <w:lvlText w:val="☑"/>
      <w:lvlJc w:val="left"/>
      <w:pPr>
        <w:ind w:left="4320" w:hanging="360"/>
      </w:pPr>
    </w:lvl>
    <w:lvl w:ilvl="6">
      <w:start w:val="1"/>
      <w:numFmt w:val="bullet"/>
      <w:lvlText w:val="☑"/>
      <w:lvlJc w:val="left"/>
      <w:pPr>
        <w:ind w:left="5040" w:hanging="360"/>
      </w:pPr>
    </w:lvl>
    <w:lvl w:ilvl="7">
      <w:start w:val="1"/>
      <w:numFmt w:val="bullet"/>
      <w:lvlText w:val="☑"/>
      <w:lvlJc w:val="left"/>
      <w:pPr>
        <w:ind w:left="5760" w:hanging="360"/>
      </w:pPr>
    </w:lvl>
    <w:lvl w:ilvl="8">
      <w:start w:val="1"/>
      <w:numFmt w:val="bullet"/>
      <w:lvlText w:val="☑"/>
      <w:lvlJc w:val="left"/>
      <w:pPr>
        <w:ind w:left="648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mbria" w:hAnsi="Cambria" w:cs="Cambria"/>
        <w:sz w:val="22"/>
        <w:szCs w:val="22"/>
        <w:lang w:val="en-US"/>
      </w:rPr>
    </w:rPrDefault>
    <w:pPrDefault>
      <w:pPr>
        <w:spacing w:after="160" w:line="312" w:lineRule="auto"/>
      </w:pPr>
    </w:pPrDefault>
  </w:docDefaults>
  <w:style w:type="paragraph" w:styleId="Normal" w:default="1">
    <w:name w:val="Normal"/>
  </w:style>
  <w:style w:type="paragraph" w:styleId="Heading1" w:default="0">
    <w:name w:val="heading 1"/>
    <w:basedOn w:val="Normal"/>
    <w:next w:val="Normal"/>
    <w:pPr>
      <w:keepNext/>
      <w:keepLines/>
      <w:spacing w:before="320" w:line="264" w:lineRule="auto"/>
      <w:outlineLvl w:val="0"/>
    </w:pPr>
    <w:rPr>
      <w:rFonts w:ascii="Cambria" w:hAnsi="Cambria"/>
      <w:b/>
      <w:color w:val="1A1A1A"/>
      <w:sz w:val="38"/>
      <w:szCs w:val="38"/>
    </w:rPr>
  </w:style>
  <w:style w:type="paragraph" w:styleId="Heading2" w:default="0">
    <w:name w:val="heading 2"/>
    <w:basedOn w:val="Normal"/>
    <w:next w:val="Normal"/>
    <w:pPr>
      <w:keepNext/>
      <w:keepLines/>
      <w:spacing w:before="320" w:line="264" w:lineRule="auto"/>
      <w:outlineLvl w:val="1"/>
    </w:pPr>
    <w:rPr>
      <w:rFonts w:ascii="Cambria" w:hAnsi="Cambria"/>
      <w:b/>
      <w:sz w:val="32"/>
      <w:szCs w:val="32"/>
    </w:rPr>
  </w:style>
  <w:style w:type="paragraph" w:styleId="Heading3" w:default="0">
    <w:name w:val="heading 3"/>
    <w:basedOn w:val="Normal"/>
    <w:next w:val="Normal"/>
    <w:pPr>
      <w:keepNext/>
      <w:keepLines/>
      <w:spacing w:before="160" w:line="264" w:lineRule="auto"/>
      <w:outlineLvl w:val="2"/>
    </w:pPr>
    <w:rPr>
      <w:rFonts w:ascii="Cambria" w:hAnsi="Cambria"/>
      <w:b/>
      <w:sz w:val="26"/>
      <w:szCs w:val="26"/>
    </w:rPr>
  </w:style>
  <w:style w:type="paragraph" w:styleId="Heading4" w:default="0">
    <w:name w:val="heading 4"/>
    <w:basedOn w:val="Normal"/>
    <w:next w:val="Normal"/>
    <w:pPr>
      <w:keepNext/>
      <w:keepLines/>
      <w:spacing w:before="160" w:line="264" w:lineRule="auto"/>
      <w:outlineLvl w:val="3"/>
    </w:pPr>
    <w:rPr>
      <w:rFonts w:ascii="Cambria" w:hAnsi="Cambria"/>
      <w:b/>
      <w:sz w:val="22"/>
      <w:szCs w:val="22"/>
    </w:rPr>
  </w:style>
  <w:style w:type="paragraph" w:styleId="Heading5" w:default="0">
    <w:name w:val="heading 5"/>
    <w:basedOn w:val="Normal"/>
    <w:next w:val="Normal"/>
    <w:pPr>
      <w:keepNext/>
      <w:keepLines/>
      <w:spacing w:before="160" w:line="264" w:lineRule="auto"/>
      <w:outlineLvl w:val="4"/>
    </w:pPr>
    <w:rPr>
      <w:rFonts w:ascii="Cambria" w:hAnsi="Cambria"/>
      <w:b/>
      <w:sz w:val="22"/>
      <w:szCs w:val="22"/>
    </w:rPr>
  </w:style>
  <w:style w:type="paragraph" w:styleId="Heading6" w:default="0">
    <w:name w:val="heading 6"/>
    <w:basedOn w:val="Normal"/>
    <w:next w:val="Normal"/>
    <w:pPr>
      <w:keepNext/>
      <w:keepLines/>
      <w:spacing w:before="160" w:line="264" w:lineRule="auto"/>
      <w:outlineLvl w:val="5"/>
    </w:pPr>
    <w:rPr>
      <w:rFonts w:ascii="Cambria" w:hAnsi="Cambria"/>
      <w:b/>
      <w:sz w:val="22"/>
      <w:szCs w:val="22"/>
    </w:rPr>
  </w:style>
  <w:style w:type="paragraph" w:styleId="Quote" w:default="0">
    <w:name w:val="Quote"/>
    <w:basedOn w:val="Normal"/>
    <w:pPr>
      <w:ind w:left="320"/>
      <w:pBdr>
        <w:left w:val="single" w:sz="24" w:space="12" w:color="BFBFBF"/>
      </w:pBdr>
    </w:pPr>
    <w:rPr>
      <w:i/>
      <w:color w:val="595959"/>
    </w:rPr>
  </w:style>
  <w:style w:type="character" w:styleId="CkHighlight">
    <w:name w:val="Clarkdown Highlight"/>
    <w:rPr>
      <w:shd w:val="clear" w:fill="FFF2A8"/>
    </w:rPr>
  </w:style>
  <w:style w:type="character" w:styleId="CkSmallcaps">
    <w:name w:val="Clarkdown Smallcaps"/>
    <w:rPr>
      <w:smallCaps/>
    </w:rPr>
  </w:style>
  <w:style w:type="character" w:styleId="CkUnderline">
    <w:name w:val="Clarkdown Underline"/>
    <w:rPr>
      <w:u w:val="single"/>
    </w:rPr>
  </w:style>
  <w:style w:type="character" w:styleId="CkMuted">
    <w:name w:val="Clarkdown Muted"/>
    <w:rPr>
      <w:color w:val="595959"/>
    </w:rPr>
  </w:style>
  <w:style w:type="character" w:styleId="CkAccent">
    <w:name w:val="Clarkdown Accent"/>
    <w:rPr>
      <w:color w:val="1A1A1A"/>
    </w:rPr>
  </w:style>
  <w:style w:type="character" w:styleId="CkCaption">
    <w:name w:val="Clarkdown Caption"/>
    <w:rPr>
      <w:i/>
      <w:color w:val="595959"/>
      <w:sz w:val="20"/>
      <w:szCs w:val="20"/>
    </w:rPr>
  </w:style>
  <w:style w:type="paragraph" w:styleId="CkDisplay" w:default="0">
    <w:name w:val="Clarkdown Display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color w:val="1A1A1A"/>
      <w:sz w:val="132"/>
      <w:szCs w:val="132"/>
    </w:rPr>
  </w:style>
  <w:style w:type="character" w:styleId="CkKicker">
    <w:name w:val="Clarkdown Kicker"/>
    <w:rPr>
      <w:smallCaps/>
      <w:spacing w:val="18"/>
      <w:color w:val="595959"/>
    </w:rPr>
  </w:style>
  <w:style w:type="paragraph" w:styleId="CkTrackedCaps" w:default="0">
    <w:name w:val="Clarkdown Tracked Caps"/>
    <w:basedOn w:val="Normal"/>
    <w:next w:val="Normal"/>
    <w:rPr>
      <w:smallCaps/>
      <w:spacing w:val="18"/>
    </w:rPr>
  </w:style>
  <w:style w:type="paragraph" w:styleId="Title" w:default="0">
    <w:name w:val="Title"/>
    <w:basedOn w:val="Normal"/>
    <w:next w:val="Normal"/>
    <w:pPr>
      <w:keepNext/>
      <w:keepLines/>
      <w:spacing w:after="240" w:line="264" w:lineRule="auto"/>
    </w:pPr>
    <w:rPr>
      <w:rFonts w:ascii="Cambria" w:hAnsi="Cambria"/>
      <w:b/>
      <w:sz w:val="46"/>
      <w:szCs w:val="46"/>
    </w:rPr>
  </w:style>
  <w:style w:type="character" w:styleId="Hyperlink">
    <w:name w:val="Hyperlink"/>
    <w:rPr>
      <w:color w:val="1A1A1A"/>
      <w:u w:val="single"/>
    </w:rPr>
  </w:style>
  <w:style w:type="paragraph" w:styleId="CkCodeBlock" w:default="0">
    <w:name w:val="Clarkdown Code Block"/>
    <w:basedOn w:val="Normal"/>
    <w:pPr>
      <w:shd w:val="clear" w:fill="EDEDED"/>
      <w:spacing w:after="0" w:line="240" w:lineRule="auto"/>
    </w:pPr>
    <w:rPr>
      <w:rFonts w:ascii="Consolas" w:hAnsi="Consolas"/>
      <w:noProof/>
      <w:sz w:val="20"/>
    </w:rPr>
  </w:style>
  <w:style w:type="character" w:styleId="CkCode">
    <w:name w:val="Clarkdown Code"/>
    <w:rPr>
      <w:rFonts w:ascii="Consolas" w:hAnsi="Consolas"/>
      <w:shd w:val="clear" w:fill="EDEDED"/>
      <w:sz w:val="20"/>
    </w:rPr>
  </w:style>
  <w:style w:type="paragraph" w:styleId="Caption" w:default="0">
    <w:name w:val="caption"/>
    <w:basedOn w:val="Normal"/>
    <w:rPr>
      <w:i/>
      <w:sz w:val="18"/>
    </w:rPr>
  </w:style>
  <w:style w:type="paragraph" w:styleId="ListParagraph" w:default="0">
    <w:name w:val="List Paragraph"/>
    <w:basedOn w:val="Normal"/>
    <w:pPr>
      <w:ind w:left="320"/>
    </w:pPr>
  </w:style>
  <w:style w:type="paragraph" w:styleId="CkUnknown" w:default="0">
    <w:name w:val="Clarkdown Unknown"/>
    <w:basedOn w:val="Normal"/>
    <w:pPr>
      <w:shd w:val="clear" w:fill="FFEEEE"/>
    </w:pPr>
  </w:style>
  <w:style w:type="paragraph" w:styleId="FootnoteText" w:default="0">
    <w:name w:val="footnote text"/>
    <w:basedOn w:val="Normal"/>
    <w:rPr>
      <w:sz w:val="18"/>
    </w:rPr>
  </w:style>
  <w:style w:type="character" w:styleId="FootnoteReference">
    <w:name w:val="footnote reference"/>
    <w:rPr>
      <w:vertAlign w:val="superscript"/>
    </w:rPr>
  </w:style>
  <w:style w:type="table" w:styleId="CkTable">
    <w:name w:val="Clarkdown Table"/>
    <w:tblPr>
      <w:tblBorders>
        <w:top w:val="single" w:sz="4" w:color="BFBFBF"/>
        <w:left w:val="single" w:sz="4" w:color="BFBFBF"/>
        <w:bottom w:val="single" w:sz="4" w:color="BFBFBF"/>
        <w:right w:val="single" w:sz="4" w:color="BFBFBF"/>
        <w:insideH w:val="single" w:sz="4" w:color="BFBFBF"/>
        <w:insideV w:val="single" w:sz="4" w:color="BFBFBF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styleId="CkLayout">
    <w:name w:val="Clarkdown Layout"/>
    <w:tblPr>
      <w:tblBorders>
        <w:top w:val="none"/>
        <w:left w:val="none"/>
        <w:bottom w:val="none"/>
        <w:right w:val="none"/>
        <w:insideH w:val="none"/>
        <w:insideV w:val="none"/>
      </w:tblBorders>
    </w:tblPr>
  </w:style>
  <w:style w:type="paragraph" w:styleId="CkNote" w:default="0">
    <w:name w:val="Clarkdown Note"/>
    <w:basedOn w:val="Normal"/>
    <w:pPr>
      <w:pBdr>
        <w:left w:val="single" w:sz="24" w:space="8" w:color="2F6FEB"/>
      </w:pBdr>
      <w:ind w:left="240"/>
    </w:pPr>
  </w:style>
  <w:style w:type="paragraph" w:styleId="CkTip" w:default="0">
    <w:name w:val="Clarkdown Tip"/>
    <w:basedOn w:val="Normal"/>
    <w:pPr>
      <w:pBdr>
        <w:left w:val="single" w:sz="24" w:space="8" w:color="1A7F37"/>
      </w:pBdr>
      <w:ind w:left="240"/>
    </w:pPr>
  </w:style>
  <w:style w:type="paragraph" w:styleId="CkWarning" w:default="0">
    <w:name w:val="Clarkdown Warning"/>
    <w:basedOn w:val="Normal"/>
    <w:pPr>
      <w:pBdr>
        <w:left w:val="single" w:sz="24" w:space="8" w:color="9A6700"/>
      </w:pBdr>
      <w:ind w:left="240"/>
    </w:pPr>
  </w:style>
  <w:style w:type="paragraph" w:styleId="CkImportant" w:default="0">
    <w:name w:val="Clarkdown Important"/>
    <w:basedOn w:val="Normal"/>
    <w:pPr>
      <w:pBdr>
        <w:left w:val="single" w:sz="24" w:space="8" w:color="8250DF"/>
      </w:pBdr>
      <w:ind w:left="240"/>
    </w:pPr>
  </w:style>
  <w:style w:type="paragraph" w:styleId="CkCaution" w:default="0">
    <w:name w:val="Clarkdown Caution"/>
    <w:basedOn w:val="Normal"/>
    <w:pPr>
      <w:pBdr>
        <w:left w:val="single" w:sz="24" w:space="8" w:color="CF222E"/>
      </w:pBdr>
      <w:ind w:left="240"/>
    </w:p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Numbering" Type="http://schemas.openxmlformats.org/officeDocument/2006/relationships/numbering" Target="numbering.xml"/><Relationship Id="rIdFonts" Type="http://schemas.openxmlformats.org/officeDocument/2006/relationships/fontTable" Target="fontTable.xml"/><Relationship Id="rIdSettings" Type="http://schemas.openxmlformats.org/officeDocument/2006/relationships/settings" Target="settings.xml"/><Relationship Id="rIdHf1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rkdownFrontMatter">
    <vt:lpwstr>{"kv":{"theme":"serif"},"v":1}</vt:lpwstr>
  </property>
</Properties>
</file>